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C235" w14:textId="4500E97A" w:rsidR="00DC1A42" w:rsidRPr="005916CD" w:rsidRDefault="00F75E62" w:rsidP="005916CD">
      <w:pPr>
        <w:rPr>
          <w:rFonts w:ascii="Arial" w:hAnsi="Arial" w:cs="Arial"/>
          <w:b/>
          <w:i/>
          <w:sz w:val="34"/>
          <w:szCs w:val="34"/>
        </w:rPr>
      </w:pPr>
      <w:bookmarkStart w:id="0" w:name="_Toc469776765"/>
      <w:bookmarkStart w:id="1" w:name="_Toc471812194"/>
      <w:bookmarkStart w:id="2" w:name="_Toc471818761"/>
      <w:bookmarkStart w:id="3" w:name="_Toc471826441"/>
      <w:bookmarkStart w:id="4" w:name="_Toc471828042"/>
      <w:bookmarkStart w:id="5" w:name="_Toc471829400"/>
      <w:r w:rsidRPr="005916CD">
        <w:rPr>
          <w:rFonts w:ascii="Arial" w:hAnsi="Arial" w:cs="Arial"/>
          <w:b/>
          <w:i/>
          <w:sz w:val="34"/>
          <w:szCs w:val="34"/>
        </w:rPr>
        <w:t>Datenschutzk</w:t>
      </w:r>
      <w:r w:rsidR="00DC1A42" w:rsidRPr="005916CD">
        <w:rPr>
          <w:rFonts w:ascii="Arial" w:hAnsi="Arial" w:cs="Arial"/>
          <w:b/>
          <w:i/>
          <w:sz w:val="34"/>
          <w:szCs w:val="34"/>
        </w:rPr>
        <w:t>ommunikation</w:t>
      </w:r>
      <w:bookmarkEnd w:id="0"/>
      <w:bookmarkEnd w:id="1"/>
      <w:bookmarkEnd w:id="2"/>
      <w:bookmarkEnd w:id="3"/>
      <w:bookmarkEnd w:id="4"/>
      <w:bookmarkEnd w:id="5"/>
    </w:p>
    <w:p w14:paraId="242BD20A" w14:textId="77777777" w:rsidR="00830FB9" w:rsidRDefault="009C5C70">
      <w:pPr>
        <w:pStyle w:val="Verzeichnis4"/>
        <w:rPr>
          <w:rFonts w:asciiTheme="minorHAnsi" w:eastAsiaTheme="minorEastAsia" w:hAnsiTheme="minorHAnsi" w:cstheme="minorBidi"/>
          <w:noProof/>
          <w:kern w:val="0"/>
          <w:sz w:val="22"/>
          <w:szCs w:val="22"/>
        </w:rPr>
      </w:pPr>
      <w:r>
        <w:fldChar w:fldCharType="begin"/>
      </w:r>
      <w:r>
        <w:instrText xml:space="preserve"> TOC \o \h \z \u </w:instrText>
      </w:r>
      <w:r>
        <w:fldChar w:fldCharType="separate"/>
      </w:r>
      <w:hyperlink w:anchor="_Toc512241271" w:history="1">
        <w:r w:rsidR="00830FB9" w:rsidRPr="00AF27DC">
          <w:rPr>
            <w:rStyle w:val="Hyperlink"/>
            <w:noProof/>
          </w:rPr>
          <w:t>I.</w:t>
        </w:r>
        <w:r w:rsidR="00830FB9">
          <w:rPr>
            <w:rFonts w:asciiTheme="minorHAnsi" w:eastAsiaTheme="minorEastAsia" w:hAnsiTheme="minorHAnsi" w:cstheme="minorBidi"/>
            <w:noProof/>
            <w:kern w:val="0"/>
            <w:sz w:val="22"/>
            <w:szCs w:val="22"/>
          </w:rPr>
          <w:tab/>
        </w:r>
        <w:r w:rsidR="00830FB9" w:rsidRPr="00AF27DC">
          <w:rPr>
            <w:rStyle w:val="Hyperlink"/>
            <w:noProof/>
          </w:rPr>
          <w:t>Grundlagen</w:t>
        </w:r>
        <w:r w:rsidR="00830FB9">
          <w:rPr>
            <w:noProof/>
            <w:webHidden/>
          </w:rPr>
          <w:tab/>
        </w:r>
        <w:r w:rsidR="00830FB9">
          <w:rPr>
            <w:noProof/>
            <w:webHidden/>
          </w:rPr>
          <w:fldChar w:fldCharType="begin"/>
        </w:r>
        <w:r w:rsidR="00830FB9">
          <w:rPr>
            <w:noProof/>
            <w:webHidden/>
          </w:rPr>
          <w:instrText xml:space="preserve"> PAGEREF _Toc512241271 \h </w:instrText>
        </w:r>
        <w:r w:rsidR="00830FB9">
          <w:rPr>
            <w:noProof/>
            <w:webHidden/>
          </w:rPr>
        </w:r>
        <w:r w:rsidR="00830FB9">
          <w:rPr>
            <w:noProof/>
            <w:webHidden/>
          </w:rPr>
          <w:fldChar w:fldCharType="separate"/>
        </w:r>
        <w:r w:rsidR="00830FB9">
          <w:rPr>
            <w:noProof/>
            <w:webHidden/>
          </w:rPr>
          <w:t>3</w:t>
        </w:r>
        <w:r w:rsidR="00830FB9">
          <w:rPr>
            <w:noProof/>
            <w:webHidden/>
          </w:rPr>
          <w:fldChar w:fldCharType="end"/>
        </w:r>
      </w:hyperlink>
    </w:p>
    <w:p w14:paraId="40259409"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272" w:history="1">
        <w:r w:rsidR="00830FB9" w:rsidRPr="00AF27DC">
          <w:rPr>
            <w:rStyle w:val="Hyperlink"/>
            <w:noProof/>
          </w:rPr>
          <w:t>1. Rationale Apathie der Betroffenen</w:t>
        </w:r>
        <w:r w:rsidR="00830FB9">
          <w:rPr>
            <w:noProof/>
            <w:webHidden/>
          </w:rPr>
          <w:tab/>
        </w:r>
        <w:r w:rsidR="00830FB9">
          <w:rPr>
            <w:noProof/>
            <w:webHidden/>
          </w:rPr>
          <w:fldChar w:fldCharType="begin"/>
        </w:r>
        <w:r w:rsidR="00830FB9">
          <w:rPr>
            <w:noProof/>
            <w:webHidden/>
          </w:rPr>
          <w:instrText xml:space="preserve"> PAGEREF _Toc512241272 \h </w:instrText>
        </w:r>
        <w:r w:rsidR="00830FB9">
          <w:rPr>
            <w:noProof/>
            <w:webHidden/>
          </w:rPr>
        </w:r>
        <w:r w:rsidR="00830FB9">
          <w:rPr>
            <w:noProof/>
            <w:webHidden/>
          </w:rPr>
          <w:fldChar w:fldCharType="separate"/>
        </w:r>
        <w:r w:rsidR="00830FB9">
          <w:rPr>
            <w:noProof/>
            <w:webHidden/>
          </w:rPr>
          <w:t>3</w:t>
        </w:r>
        <w:r w:rsidR="00830FB9">
          <w:rPr>
            <w:noProof/>
            <w:webHidden/>
          </w:rPr>
          <w:fldChar w:fldCharType="end"/>
        </w:r>
      </w:hyperlink>
    </w:p>
    <w:p w14:paraId="7CAD0544" w14:textId="77777777" w:rsidR="00830FB9" w:rsidRDefault="002874B2">
      <w:pPr>
        <w:pStyle w:val="Verzeichnis6"/>
        <w:rPr>
          <w:rFonts w:asciiTheme="minorHAnsi" w:eastAsiaTheme="minorEastAsia" w:hAnsiTheme="minorHAnsi" w:cstheme="minorBidi"/>
          <w:noProof/>
          <w:kern w:val="0"/>
          <w:sz w:val="22"/>
          <w:szCs w:val="22"/>
        </w:rPr>
      </w:pPr>
      <w:hyperlink w:anchor="_Toc512241273" w:history="1">
        <w:r w:rsidR="00830FB9" w:rsidRPr="00AF27DC">
          <w:rPr>
            <w:rStyle w:val="Hyperlink"/>
            <w:noProof/>
          </w:rPr>
          <w:t>a) „Information Overkill“</w:t>
        </w:r>
        <w:r w:rsidR="00830FB9">
          <w:rPr>
            <w:noProof/>
            <w:webHidden/>
          </w:rPr>
          <w:tab/>
        </w:r>
        <w:r w:rsidR="00830FB9">
          <w:rPr>
            <w:noProof/>
            <w:webHidden/>
          </w:rPr>
          <w:fldChar w:fldCharType="begin"/>
        </w:r>
        <w:r w:rsidR="00830FB9">
          <w:rPr>
            <w:noProof/>
            <w:webHidden/>
          </w:rPr>
          <w:instrText xml:space="preserve"> PAGEREF _Toc512241273 \h </w:instrText>
        </w:r>
        <w:r w:rsidR="00830FB9">
          <w:rPr>
            <w:noProof/>
            <w:webHidden/>
          </w:rPr>
        </w:r>
        <w:r w:rsidR="00830FB9">
          <w:rPr>
            <w:noProof/>
            <w:webHidden/>
          </w:rPr>
          <w:fldChar w:fldCharType="separate"/>
        </w:r>
        <w:r w:rsidR="00830FB9">
          <w:rPr>
            <w:noProof/>
            <w:webHidden/>
          </w:rPr>
          <w:t>3</w:t>
        </w:r>
        <w:r w:rsidR="00830FB9">
          <w:rPr>
            <w:noProof/>
            <w:webHidden/>
          </w:rPr>
          <w:fldChar w:fldCharType="end"/>
        </w:r>
      </w:hyperlink>
    </w:p>
    <w:p w14:paraId="14B00667" w14:textId="77777777" w:rsidR="00830FB9" w:rsidRDefault="002874B2">
      <w:pPr>
        <w:pStyle w:val="Verzeichnis6"/>
        <w:rPr>
          <w:rFonts w:asciiTheme="minorHAnsi" w:eastAsiaTheme="minorEastAsia" w:hAnsiTheme="minorHAnsi" w:cstheme="minorBidi"/>
          <w:noProof/>
          <w:kern w:val="0"/>
          <w:sz w:val="22"/>
          <w:szCs w:val="22"/>
        </w:rPr>
      </w:pPr>
      <w:hyperlink w:anchor="_Toc512241274" w:history="1">
        <w:r w:rsidR="00830FB9" w:rsidRPr="00AF27DC">
          <w:rPr>
            <w:rStyle w:val="Hyperlink"/>
            <w:noProof/>
          </w:rPr>
          <w:t>b) Fehlende Fühlbarkeit informationeller Eingriffe</w:t>
        </w:r>
        <w:r w:rsidR="00830FB9">
          <w:rPr>
            <w:noProof/>
            <w:webHidden/>
          </w:rPr>
          <w:tab/>
        </w:r>
        <w:r w:rsidR="00830FB9">
          <w:rPr>
            <w:noProof/>
            <w:webHidden/>
          </w:rPr>
          <w:fldChar w:fldCharType="begin"/>
        </w:r>
        <w:r w:rsidR="00830FB9">
          <w:rPr>
            <w:noProof/>
            <w:webHidden/>
          </w:rPr>
          <w:instrText xml:space="preserve"> PAGEREF _Toc512241274 \h </w:instrText>
        </w:r>
        <w:r w:rsidR="00830FB9">
          <w:rPr>
            <w:noProof/>
            <w:webHidden/>
          </w:rPr>
        </w:r>
        <w:r w:rsidR="00830FB9">
          <w:rPr>
            <w:noProof/>
            <w:webHidden/>
          </w:rPr>
          <w:fldChar w:fldCharType="separate"/>
        </w:r>
        <w:r w:rsidR="00830FB9">
          <w:rPr>
            <w:noProof/>
            <w:webHidden/>
          </w:rPr>
          <w:t>3</w:t>
        </w:r>
        <w:r w:rsidR="00830FB9">
          <w:rPr>
            <w:noProof/>
            <w:webHidden/>
          </w:rPr>
          <w:fldChar w:fldCharType="end"/>
        </w:r>
      </w:hyperlink>
    </w:p>
    <w:p w14:paraId="3FF26B45" w14:textId="77777777" w:rsidR="00830FB9" w:rsidRDefault="002874B2">
      <w:pPr>
        <w:pStyle w:val="Verzeichnis6"/>
        <w:rPr>
          <w:rFonts w:asciiTheme="minorHAnsi" w:eastAsiaTheme="minorEastAsia" w:hAnsiTheme="minorHAnsi" w:cstheme="minorBidi"/>
          <w:noProof/>
          <w:kern w:val="0"/>
          <w:sz w:val="22"/>
          <w:szCs w:val="22"/>
        </w:rPr>
      </w:pPr>
      <w:hyperlink w:anchor="_Toc512241275" w:history="1">
        <w:r w:rsidR="00830FB9" w:rsidRPr="00AF27DC">
          <w:rPr>
            <w:rStyle w:val="Hyperlink"/>
            <w:noProof/>
          </w:rPr>
          <w:t>c) Lästigkeit des Datenschutzes</w:t>
        </w:r>
        <w:r w:rsidR="00830FB9">
          <w:rPr>
            <w:noProof/>
            <w:webHidden/>
          </w:rPr>
          <w:tab/>
        </w:r>
        <w:r w:rsidR="00830FB9">
          <w:rPr>
            <w:noProof/>
            <w:webHidden/>
          </w:rPr>
          <w:fldChar w:fldCharType="begin"/>
        </w:r>
        <w:r w:rsidR="00830FB9">
          <w:rPr>
            <w:noProof/>
            <w:webHidden/>
          </w:rPr>
          <w:instrText xml:space="preserve"> PAGEREF _Toc512241275 \h </w:instrText>
        </w:r>
        <w:r w:rsidR="00830FB9">
          <w:rPr>
            <w:noProof/>
            <w:webHidden/>
          </w:rPr>
        </w:r>
        <w:r w:rsidR="00830FB9">
          <w:rPr>
            <w:noProof/>
            <w:webHidden/>
          </w:rPr>
          <w:fldChar w:fldCharType="separate"/>
        </w:r>
        <w:r w:rsidR="00830FB9">
          <w:rPr>
            <w:noProof/>
            <w:webHidden/>
          </w:rPr>
          <w:t>4</w:t>
        </w:r>
        <w:r w:rsidR="00830FB9">
          <w:rPr>
            <w:noProof/>
            <w:webHidden/>
          </w:rPr>
          <w:fldChar w:fldCharType="end"/>
        </w:r>
      </w:hyperlink>
    </w:p>
    <w:p w14:paraId="520A0557" w14:textId="77777777" w:rsidR="00830FB9" w:rsidRDefault="002874B2">
      <w:pPr>
        <w:pStyle w:val="Verzeichnis6"/>
        <w:rPr>
          <w:rFonts w:asciiTheme="minorHAnsi" w:eastAsiaTheme="minorEastAsia" w:hAnsiTheme="minorHAnsi" w:cstheme="minorBidi"/>
          <w:noProof/>
          <w:kern w:val="0"/>
          <w:sz w:val="22"/>
          <w:szCs w:val="22"/>
        </w:rPr>
      </w:pPr>
      <w:hyperlink w:anchor="_Toc512241276" w:history="1">
        <w:r w:rsidR="00830FB9" w:rsidRPr="00AF27DC">
          <w:rPr>
            <w:rStyle w:val="Hyperlink"/>
            <w:noProof/>
          </w:rPr>
          <w:t>d) Datenschutz als dysfunktionales Argument</w:t>
        </w:r>
        <w:r w:rsidR="00830FB9">
          <w:rPr>
            <w:noProof/>
            <w:webHidden/>
          </w:rPr>
          <w:tab/>
        </w:r>
        <w:r w:rsidR="00830FB9">
          <w:rPr>
            <w:noProof/>
            <w:webHidden/>
          </w:rPr>
          <w:fldChar w:fldCharType="begin"/>
        </w:r>
        <w:r w:rsidR="00830FB9">
          <w:rPr>
            <w:noProof/>
            <w:webHidden/>
          </w:rPr>
          <w:instrText xml:space="preserve"> PAGEREF _Toc512241276 \h </w:instrText>
        </w:r>
        <w:r w:rsidR="00830FB9">
          <w:rPr>
            <w:noProof/>
            <w:webHidden/>
          </w:rPr>
        </w:r>
        <w:r w:rsidR="00830FB9">
          <w:rPr>
            <w:noProof/>
            <w:webHidden/>
          </w:rPr>
          <w:fldChar w:fldCharType="separate"/>
        </w:r>
        <w:r w:rsidR="00830FB9">
          <w:rPr>
            <w:noProof/>
            <w:webHidden/>
          </w:rPr>
          <w:t>4</w:t>
        </w:r>
        <w:r w:rsidR="00830FB9">
          <w:rPr>
            <w:noProof/>
            <w:webHidden/>
          </w:rPr>
          <w:fldChar w:fldCharType="end"/>
        </w:r>
      </w:hyperlink>
    </w:p>
    <w:p w14:paraId="657BBB30"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277" w:history="1">
        <w:r w:rsidR="00830FB9" w:rsidRPr="00AF27DC">
          <w:rPr>
            <w:rStyle w:val="Hyperlink"/>
            <w:noProof/>
          </w:rPr>
          <w:t>2. (Verfassungsrechts-)Gründe für den Datenschutz</w:t>
        </w:r>
        <w:r w:rsidR="00830FB9">
          <w:rPr>
            <w:noProof/>
            <w:webHidden/>
          </w:rPr>
          <w:tab/>
        </w:r>
        <w:r w:rsidR="00830FB9">
          <w:rPr>
            <w:noProof/>
            <w:webHidden/>
          </w:rPr>
          <w:fldChar w:fldCharType="begin"/>
        </w:r>
        <w:r w:rsidR="00830FB9">
          <w:rPr>
            <w:noProof/>
            <w:webHidden/>
          </w:rPr>
          <w:instrText xml:space="preserve"> PAGEREF _Toc512241277 \h </w:instrText>
        </w:r>
        <w:r w:rsidR="00830FB9">
          <w:rPr>
            <w:noProof/>
            <w:webHidden/>
          </w:rPr>
        </w:r>
        <w:r w:rsidR="00830FB9">
          <w:rPr>
            <w:noProof/>
            <w:webHidden/>
          </w:rPr>
          <w:fldChar w:fldCharType="separate"/>
        </w:r>
        <w:r w:rsidR="00830FB9">
          <w:rPr>
            <w:noProof/>
            <w:webHidden/>
          </w:rPr>
          <w:t>4</w:t>
        </w:r>
        <w:r w:rsidR="00830FB9">
          <w:rPr>
            <w:noProof/>
            <w:webHidden/>
          </w:rPr>
          <w:fldChar w:fldCharType="end"/>
        </w:r>
      </w:hyperlink>
    </w:p>
    <w:p w14:paraId="56C8FF72" w14:textId="77777777" w:rsidR="00830FB9" w:rsidRDefault="002874B2">
      <w:pPr>
        <w:pStyle w:val="Verzeichnis6"/>
        <w:rPr>
          <w:rFonts w:asciiTheme="minorHAnsi" w:eastAsiaTheme="minorEastAsia" w:hAnsiTheme="minorHAnsi" w:cstheme="minorBidi"/>
          <w:noProof/>
          <w:kern w:val="0"/>
          <w:sz w:val="22"/>
          <w:szCs w:val="22"/>
        </w:rPr>
      </w:pPr>
      <w:hyperlink w:anchor="_Toc512241278" w:history="1">
        <w:r w:rsidR="00830FB9" w:rsidRPr="00AF27DC">
          <w:rPr>
            <w:rStyle w:val="Hyperlink"/>
            <w:noProof/>
          </w:rPr>
          <w:t>a) „Informationelle Selbstbestimmung“ als Grundrecht</w:t>
        </w:r>
        <w:r w:rsidR="00830FB9">
          <w:rPr>
            <w:noProof/>
            <w:webHidden/>
          </w:rPr>
          <w:tab/>
        </w:r>
        <w:r w:rsidR="00830FB9">
          <w:rPr>
            <w:noProof/>
            <w:webHidden/>
          </w:rPr>
          <w:fldChar w:fldCharType="begin"/>
        </w:r>
        <w:r w:rsidR="00830FB9">
          <w:rPr>
            <w:noProof/>
            <w:webHidden/>
          </w:rPr>
          <w:instrText xml:space="preserve"> PAGEREF _Toc512241278 \h </w:instrText>
        </w:r>
        <w:r w:rsidR="00830FB9">
          <w:rPr>
            <w:noProof/>
            <w:webHidden/>
          </w:rPr>
        </w:r>
        <w:r w:rsidR="00830FB9">
          <w:rPr>
            <w:noProof/>
            <w:webHidden/>
          </w:rPr>
          <w:fldChar w:fldCharType="separate"/>
        </w:r>
        <w:r w:rsidR="00830FB9">
          <w:rPr>
            <w:noProof/>
            <w:webHidden/>
          </w:rPr>
          <w:t>4</w:t>
        </w:r>
        <w:r w:rsidR="00830FB9">
          <w:rPr>
            <w:noProof/>
            <w:webHidden/>
          </w:rPr>
          <w:fldChar w:fldCharType="end"/>
        </w:r>
      </w:hyperlink>
    </w:p>
    <w:p w14:paraId="77FC9E8A" w14:textId="77777777" w:rsidR="00830FB9" w:rsidRDefault="002874B2">
      <w:pPr>
        <w:pStyle w:val="Verzeichnis6"/>
        <w:rPr>
          <w:rFonts w:asciiTheme="minorHAnsi" w:eastAsiaTheme="minorEastAsia" w:hAnsiTheme="minorHAnsi" w:cstheme="minorBidi"/>
          <w:noProof/>
          <w:kern w:val="0"/>
          <w:sz w:val="22"/>
          <w:szCs w:val="22"/>
        </w:rPr>
      </w:pPr>
      <w:hyperlink w:anchor="_Toc512241279" w:history="1">
        <w:r w:rsidR="00830FB9" w:rsidRPr="00AF27DC">
          <w:rPr>
            <w:rStyle w:val="Hyperlink"/>
            <w:noProof/>
          </w:rPr>
          <w:t>b) Einwilligung</w:t>
        </w:r>
        <w:r w:rsidR="00830FB9">
          <w:rPr>
            <w:noProof/>
            <w:webHidden/>
          </w:rPr>
          <w:tab/>
        </w:r>
        <w:r w:rsidR="00830FB9">
          <w:rPr>
            <w:noProof/>
            <w:webHidden/>
          </w:rPr>
          <w:fldChar w:fldCharType="begin"/>
        </w:r>
        <w:r w:rsidR="00830FB9">
          <w:rPr>
            <w:noProof/>
            <w:webHidden/>
          </w:rPr>
          <w:instrText xml:space="preserve"> PAGEREF _Toc512241279 \h </w:instrText>
        </w:r>
        <w:r w:rsidR="00830FB9">
          <w:rPr>
            <w:noProof/>
            <w:webHidden/>
          </w:rPr>
        </w:r>
        <w:r w:rsidR="00830FB9">
          <w:rPr>
            <w:noProof/>
            <w:webHidden/>
          </w:rPr>
          <w:fldChar w:fldCharType="separate"/>
        </w:r>
        <w:r w:rsidR="00830FB9">
          <w:rPr>
            <w:noProof/>
            <w:webHidden/>
          </w:rPr>
          <w:t>5</w:t>
        </w:r>
        <w:r w:rsidR="00830FB9">
          <w:rPr>
            <w:noProof/>
            <w:webHidden/>
          </w:rPr>
          <w:fldChar w:fldCharType="end"/>
        </w:r>
      </w:hyperlink>
    </w:p>
    <w:p w14:paraId="315B0414" w14:textId="77777777" w:rsidR="00830FB9" w:rsidRDefault="002874B2">
      <w:pPr>
        <w:pStyle w:val="Verzeichnis6"/>
        <w:rPr>
          <w:rFonts w:asciiTheme="minorHAnsi" w:eastAsiaTheme="minorEastAsia" w:hAnsiTheme="minorHAnsi" w:cstheme="minorBidi"/>
          <w:noProof/>
          <w:kern w:val="0"/>
          <w:sz w:val="22"/>
          <w:szCs w:val="22"/>
        </w:rPr>
      </w:pPr>
      <w:hyperlink w:anchor="_Toc512241280" w:history="1">
        <w:r w:rsidR="00830FB9" w:rsidRPr="00AF27DC">
          <w:rPr>
            <w:rStyle w:val="Hyperlink"/>
            <w:noProof/>
          </w:rPr>
          <w:t>c) Gesetzliche Erlaubnistatbestände</w:t>
        </w:r>
        <w:r w:rsidR="00830FB9">
          <w:rPr>
            <w:noProof/>
            <w:webHidden/>
          </w:rPr>
          <w:tab/>
        </w:r>
        <w:r w:rsidR="00830FB9">
          <w:rPr>
            <w:noProof/>
            <w:webHidden/>
          </w:rPr>
          <w:fldChar w:fldCharType="begin"/>
        </w:r>
        <w:r w:rsidR="00830FB9">
          <w:rPr>
            <w:noProof/>
            <w:webHidden/>
          </w:rPr>
          <w:instrText xml:space="preserve"> PAGEREF _Toc512241280 \h </w:instrText>
        </w:r>
        <w:r w:rsidR="00830FB9">
          <w:rPr>
            <w:noProof/>
            <w:webHidden/>
          </w:rPr>
        </w:r>
        <w:r w:rsidR="00830FB9">
          <w:rPr>
            <w:noProof/>
            <w:webHidden/>
          </w:rPr>
          <w:fldChar w:fldCharType="separate"/>
        </w:r>
        <w:r w:rsidR="00830FB9">
          <w:rPr>
            <w:noProof/>
            <w:webHidden/>
          </w:rPr>
          <w:t>5</w:t>
        </w:r>
        <w:r w:rsidR="00830FB9">
          <w:rPr>
            <w:noProof/>
            <w:webHidden/>
          </w:rPr>
          <w:fldChar w:fldCharType="end"/>
        </w:r>
      </w:hyperlink>
    </w:p>
    <w:p w14:paraId="0BB83522" w14:textId="77777777" w:rsidR="00830FB9" w:rsidRDefault="002874B2">
      <w:pPr>
        <w:pStyle w:val="Verzeichnis6"/>
        <w:rPr>
          <w:rFonts w:asciiTheme="minorHAnsi" w:eastAsiaTheme="minorEastAsia" w:hAnsiTheme="minorHAnsi" w:cstheme="minorBidi"/>
          <w:noProof/>
          <w:kern w:val="0"/>
          <w:sz w:val="22"/>
          <w:szCs w:val="22"/>
        </w:rPr>
      </w:pPr>
      <w:hyperlink w:anchor="_Toc512241281" w:history="1">
        <w:r w:rsidR="00830FB9" w:rsidRPr="00AF27DC">
          <w:rPr>
            <w:rStyle w:val="Hyperlink"/>
            <w:noProof/>
          </w:rPr>
          <w:t>d) Flankierende Informationspflichten</w:t>
        </w:r>
        <w:r w:rsidR="00830FB9">
          <w:rPr>
            <w:noProof/>
            <w:webHidden/>
          </w:rPr>
          <w:tab/>
        </w:r>
        <w:r w:rsidR="00830FB9">
          <w:rPr>
            <w:noProof/>
            <w:webHidden/>
          </w:rPr>
          <w:fldChar w:fldCharType="begin"/>
        </w:r>
        <w:r w:rsidR="00830FB9">
          <w:rPr>
            <w:noProof/>
            <w:webHidden/>
          </w:rPr>
          <w:instrText xml:space="preserve"> PAGEREF _Toc512241281 \h </w:instrText>
        </w:r>
        <w:r w:rsidR="00830FB9">
          <w:rPr>
            <w:noProof/>
            <w:webHidden/>
          </w:rPr>
        </w:r>
        <w:r w:rsidR="00830FB9">
          <w:rPr>
            <w:noProof/>
            <w:webHidden/>
          </w:rPr>
          <w:fldChar w:fldCharType="separate"/>
        </w:r>
        <w:r w:rsidR="00830FB9">
          <w:rPr>
            <w:noProof/>
            <w:webHidden/>
          </w:rPr>
          <w:t>6</w:t>
        </w:r>
        <w:r w:rsidR="00830FB9">
          <w:rPr>
            <w:noProof/>
            <w:webHidden/>
          </w:rPr>
          <w:fldChar w:fldCharType="end"/>
        </w:r>
      </w:hyperlink>
    </w:p>
    <w:p w14:paraId="34DAFFDE"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282" w:history="1">
        <w:r w:rsidR="00830FB9" w:rsidRPr="00AF27DC">
          <w:rPr>
            <w:rStyle w:val="Hyperlink"/>
            <w:noProof/>
          </w:rPr>
          <w:t>3. Datenschutzgesetze</w:t>
        </w:r>
        <w:r w:rsidR="00830FB9">
          <w:rPr>
            <w:noProof/>
            <w:webHidden/>
          </w:rPr>
          <w:tab/>
        </w:r>
        <w:r w:rsidR="00830FB9">
          <w:rPr>
            <w:noProof/>
            <w:webHidden/>
          </w:rPr>
          <w:fldChar w:fldCharType="begin"/>
        </w:r>
        <w:r w:rsidR="00830FB9">
          <w:rPr>
            <w:noProof/>
            <w:webHidden/>
          </w:rPr>
          <w:instrText xml:space="preserve"> PAGEREF _Toc512241282 \h </w:instrText>
        </w:r>
        <w:r w:rsidR="00830FB9">
          <w:rPr>
            <w:noProof/>
            <w:webHidden/>
          </w:rPr>
        </w:r>
        <w:r w:rsidR="00830FB9">
          <w:rPr>
            <w:noProof/>
            <w:webHidden/>
          </w:rPr>
          <w:fldChar w:fldCharType="separate"/>
        </w:r>
        <w:r w:rsidR="00830FB9">
          <w:rPr>
            <w:noProof/>
            <w:webHidden/>
          </w:rPr>
          <w:t>6</w:t>
        </w:r>
        <w:r w:rsidR="00830FB9">
          <w:rPr>
            <w:noProof/>
            <w:webHidden/>
          </w:rPr>
          <w:fldChar w:fldCharType="end"/>
        </w:r>
      </w:hyperlink>
    </w:p>
    <w:p w14:paraId="5096A90F" w14:textId="77777777" w:rsidR="00830FB9" w:rsidRDefault="002874B2">
      <w:pPr>
        <w:pStyle w:val="Verzeichnis6"/>
        <w:rPr>
          <w:rFonts w:asciiTheme="minorHAnsi" w:eastAsiaTheme="minorEastAsia" w:hAnsiTheme="minorHAnsi" w:cstheme="minorBidi"/>
          <w:noProof/>
          <w:kern w:val="0"/>
          <w:sz w:val="22"/>
          <w:szCs w:val="22"/>
        </w:rPr>
      </w:pPr>
      <w:hyperlink w:anchor="_Toc512241283" w:history="1">
        <w:r w:rsidR="00830FB9" w:rsidRPr="00AF27DC">
          <w:rPr>
            <w:rStyle w:val="Hyperlink"/>
            <w:noProof/>
          </w:rPr>
          <w:t>a) Die EU-Datenschutz-Grundverordnung</w:t>
        </w:r>
        <w:r w:rsidR="00830FB9">
          <w:rPr>
            <w:noProof/>
            <w:webHidden/>
          </w:rPr>
          <w:tab/>
        </w:r>
        <w:r w:rsidR="00830FB9">
          <w:rPr>
            <w:noProof/>
            <w:webHidden/>
          </w:rPr>
          <w:fldChar w:fldCharType="begin"/>
        </w:r>
        <w:r w:rsidR="00830FB9">
          <w:rPr>
            <w:noProof/>
            <w:webHidden/>
          </w:rPr>
          <w:instrText xml:space="preserve"> PAGEREF _Toc512241283 \h </w:instrText>
        </w:r>
        <w:r w:rsidR="00830FB9">
          <w:rPr>
            <w:noProof/>
            <w:webHidden/>
          </w:rPr>
        </w:r>
        <w:r w:rsidR="00830FB9">
          <w:rPr>
            <w:noProof/>
            <w:webHidden/>
          </w:rPr>
          <w:fldChar w:fldCharType="separate"/>
        </w:r>
        <w:r w:rsidR="00830FB9">
          <w:rPr>
            <w:noProof/>
            <w:webHidden/>
          </w:rPr>
          <w:t>6</w:t>
        </w:r>
        <w:r w:rsidR="00830FB9">
          <w:rPr>
            <w:noProof/>
            <w:webHidden/>
          </w:rPr>
          <w:fldChar w:fldCharType="end"/>
        </w:r>
      </w:hyperlink>
    </w:p>
    <w:p w14:paraId="3EE0943E" w14:textId="77777777" w:rsidR="00830FB9" w:rsidRDefault="002874B2">
      <w:pPr>
        <w:pStyle w:val="Verzeichnis6"/>
        <w:rPr>
          <w:rFonts w:asciiTheme="minorHAnsi" w:eastAsiaTheme="minorEastAsia" w:hAnsiTheme="minorHAnsi" w:cstheme="minorBidi"/>
          <w:noProof/>
          <w:kern w:val="0"/>
          <w:sz w:val="22"/>
          <w:szCs w:val="22"/>
        </w:rPr>
      </w:pPr>
      <w:hyperlink w:anchor="_Toc512241284" w:history="1">
        <w:r w:rsidR="00830FB9" w:rsidRPr="00AF27DC">
          <w:rPr>
            <w:rStyle w:val="Hyperlink"/>
            <w:noProof/>
          </w:rPr>
          <w:t>b) Das Ziel der Vollharmonisierung und seine Ausnahmen</w:t>
        </w:r>
        <w:r w:rsidR="00830FB9">
          <w:rPr>
            <w:noProof/>
            <w:webHidden/>
          </w:rPr>
          <w:tab/>
        </w:r>
        <w:r w:rsidR="00830FB9">
          <w:rPr>
            <w:noProof/>
            <w:webHidden/>
          </w:rPr>
          <w:fldChar w:fldCharType="begin"/>
        </w:r>
        <w:r w:rsidR="00830FB9">
          <w:rPr>
            <w:noProof/>
            <w:webHidden/>
          </w:rPr>
          <w:instrText xml:space="preserve"> PAGEREF _Toc512241284 \h </w:instrText>
        </w:r>
        <w:r w:rsidR="00830FB9">
          <w:rPr>
            <w:noProof/>
            <w:webHidden/>
          </w:rPr>
        </w:r>
        <w:r w:rsidR="00830FB9">
          <w:rPr>
            <w:noProof/>
            <w:webHidden/>
          </w:rPr>
          <w:fldChar w:fldCharType="separate"/>
        </w:r>
        <w:r w:rsidR="00830FB9">
          <w:rPr>
            <w:noProof/>
            <w:webHidden/>
          </w:rPr>
          <w:t>7</w:t>
        </w:r>
        <w:r w:rsidR="00830FB9">
          <w:rPr>
            <w:noProof/>
            <w:webHidden/>
          </w:rPr>
          <w:fldChar w:fldCharType="end"/>
        </w:r>
      </w:hyperlink>
    </w:p>
    <w:p w14:paraId="48A3E8A9"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285" w:history="1">
        <w:r w:rsidR="00830FB9" w:rsidRPr="00AF27DC">
          <w:rPr>
            <w:rStyle w:val="Hyperlink"/>
            <w:noProof/>
          </w:rPr>
          <w:t>4. Datenschutz als Wettbewerbsvorteil und bessere Verwaltungsleistung</w:t>
        </w:r>
        <w:r w:rsidR="00830FB9">
          <w:rPr>
            <w:noProof/>
            <w:webHidden/>
          </w:rPr>
          <w:tab/>
        </w:r>
        <w:r w:rsidR="00830FB9">
          <w:rPr>
            <w:noProof/>
            <w:webHidden/>
          </w:rPr>
          <w:fldChar w:fldCharType="begin"/>
        </w:r>
        <w:r w:rsidR="00830FB9">
          <w:rPr>
            <w:noProof/>
            <w:webHidden/>
          </w:rPr>
          <w:instrText xml:space="preserve"> PAGEREF _Toc512241285 \h </w:instrText>
        </w:r>
        <w:r w:rsidR="00830FB9">
          <w:rPr>
            <w:noProof/>
            <w:webHidden/>
          </w:rPr>
        </w:r>
        <w:r w:rsidR="00830FB9">
          <w:rPr>
            <w:noProof/>
            <w:webHidden/>
          </w:rPr>
          <w:fldChar w:fldCharType="separate"/>
        </w:r>
        <w:r w:rsidR="00830FB9">
          <w:rPr>
            <w:noProof/>
            <w:webHidden/>
          </w:rPr>
          <w:t>7</w:t>
        </w:r>
        <w:r w:rsidR="00830FB9">
          <w:rPr>
            <w:noProof/>
            <w:webHidden/>
          </w:rPr>
          <w:fldChar w:fldCharType="end"/>
        </w:r>
      </w:hyperlink>
    </w:p>
    <w:p w14:paraId="532188F0" w14:textId="77777777" w:rsidR="00830FB9" w:rsidRDefault="002874B2">
      <w:pPr>
        <w:pStyle w:val="Verzeichnis6"/>
        <w:rPr>
          <w:rFonts w:asciiTheme="minorHAnsi" w:eastAsiaTheme="minorEastAsia" w:hAnsiTheme="minorHAnsi" w:cstheme="minorBidi"/>
          <w:noProof/>
          <w:kern w:val="0"/>
          <w:sz w:val="22"/>
          <w:szCs w:val="22"/>
        </w:rPr>
      </w:pPr>
      <w:hyperlink w:anchor="_Toc512241286" w:history="1">
        <w:r w:rsidR="00830FB9" w:rsidRPr="00AF27DC">
          <w:rPr>
            <w:rStyle w:val="Hyperlink"/>
            <w:noProof/>
          </w:rPr>
          <w:t>a) Betroffenenvertrauen als Gut</w:t>
        </w:r>
        <w:r w:rsidR="00830FB9">
          <w:rPr>
            <w:noProof/>
            <w:webHidden/>
          </w:rPr>
          <w:tab/>
        </w:r>
        <w:r w:rsidR="00830FB9">
          <w:rPr>
            <w:noProof/>
            <w:webHidden/>
          </w:rPr>
          <w:fldChar w:fldCharType="begin"/>
        </w:r>
        <w:r w:rsidR="00830FB9">
          <w:rPr>
            <w:noProof/>
            <w:webHidden/>
          </w:rPr>
          <w:instrText xml:space="preserve"> PAGEREF _Toc512241286 \h </w:instrText>
        </w:r>
        <w:r w:rsidR="00830FB9">
          <w:rPr>
            <w:noProof/>
            <w:webHidden/>
          </w:rPr>
        </w:r>
        <w:r w:rsidR="00830FB9">
          <w:rPr>
            <w:noProof/>
            <w:webHidden/>
          </w:rPr>
          <w:fldChar w:fldCharType="separate"/>
        </w:r>
        <w:r w:rsidR="00830FB9">
          <w:rPr>
            <w:noProof/>
            <w:webHidden/>
          </w:rPr>
          <w:t>7</w:t>
        </w:r>
        <w:r w:rsidR="00830FB9">
          <w:rPr>
            <w:noProof/>
            <w:webHidden/>
          </w:rPr>
          <w:fldChar w:fldCharType="end"/>
        </w:r>
      </w:hyperlink>
    </w:p>
    <w:p w14:paraId="488F4E75" w14:textId="77777777" w:rsidR="00830FB9" w:rsidRDefault="002874B2">
      <w:pPr>
        <w:pStyle w:val="Verzeichnis6"/>
        <w:rPr>
          <w:rFonts w:asciiTheme="minorHAnsi" w:eastAsiaTheme="minorEastAsia" w:hAnsiTheme="minorHAnsi" w:cstheme="minorBidi"/>
          <w:noProof/>
          <w:kern w:val="0"/>
          <w:sz w:val="22"/>
          <w:szCs w:val="22"/>
        </w:rPr>
      </w:pPr>
      <w:hyperlink w:anchor="_Toc512241287" w:history="1">
        <w:r w:rsidR="00830FB9" w:rsidRPr="00AF27DC">
          <w:rPr>
            <w:rStyle w:val="Hyperlink"/>
            <w:noProof/>
          </w:rPr>
          <w:t>b) Datenschutzkommunikation als Instrument im Wettbewerb</w:t>
        </w:r>
        <w:r w:rsidR="00830FB9">
          <w:rPr>
            <w:noProof/>
            <w:webHidden/>
          </w:rPr>
          <w:tab/>
        </w:r>
        <w:r w:rsidR="00830FB9">
          <w:rPr>
            <w:noProof/>
            <w:webHidden/>
          </w:rPr>
          <w:fldChar w:fldCharType="begin"/>
        </w:r>
        <w:r w:rsidR="00830FB9">
          <w:rPr>
            <w:noProof/>
            <w:webHidden/>
          </w:rPr>
          <w:instrText xml:space="preserve"> PAGEREF _Toc512241287 \h </w:instrText>
        </w:r>
        <w:r w:rsidR="00830FB9">
          <w:rPr>
            <w:noProof/>
            <w:webHidden/>
          </w:rPr>
        </w:r>
        <w:r w:rsidR="00830FB9">
          <w:rPr>
            <w:noProof/>
            <w:webHidden/>
          </w:rPr>
          <w:fldChar w:fldCharType="separate"/>
        </w:r>
        <w:r w:rsidR="00830FB9">
          <w:rPr>
            <w:noProof/>
            <w:webHidden/>
          </w:rPr>
          <w:t>8</w:t>
        </w:r>
        <w:r w:rsidR="00830FB9">
          <w:rPr>
            <w:noProof/>
            <w:webHidden/>
          </w:rPr>
          <w:fldChar w:fldCharType="end"/>
        </w:r>
      </w:hyperlink>
    </w:p>
    <w:p w14:paraId="3CC1AE3A" w14:textId="77777777" w:rsidR="00830FB9" w:rsidRDefault="002874B2">
      <w:pPr>
        <w:pStyle w:val="Verzeichnis6"/>
        <w:rPr>
          <w:rFonts w:asciiTheme="minorHAnsi" w:eastAsiaTheme="minorEastAsia" w:hAnsiTheme="minorHAnsi" w:cstheme="minorBidi"/>
          <w:noProof/>
          <w:kern w:val="0"/>
          <w:sz w:val="22"/>
          <w:szCs w:val="22"/>
        </w:rPr>
      </w:pPr>
      <w:hyperlink w:anchor="_Toc512241288" w:history="1">
        <w:r w:rsidR="00830FB9" w:rsidRPr="00AF27DC">
          <w:rPr>
            <w:rStyle w:val="Hyperlink"/>
            <w:noProof/>
          </w:rPr>
          <w:t>a) Datenschutzkommunikation zur Verbesserung der Verwaltungsleistung</w:t>
        </w:r>
        <w:r w:rsidR="00830FB9">
          <w:rPr>
            <w:noProof/>
            <w:webHidden/>
          </w:rPr>
          <w:tab/>
        </w:r>
        <w:r w:rsidR="00830FB9">
          <w:rPr>
            <w:noProof/>
            <w:webHidden/>
          </w:rPr>
          <w:fldChar w:fldCharType="begin"/>
        </w:r>
        <w:r w:rsidR="00830FB9">
          <w:rPr>
            <w:noProof/>
            <w:webHidden/>
          </w:rPr>
          <w:instrText xml:space="preserve"> PAGEREF _Toc512241288 \h </w:instrText>
        </w:r>
        <w:r w:rsidR="00830FB9">
          <w:rPr>
            <w:noProof/>
            <w:webHidden/>
          </w:rPr>
        </w:r>
        <w:r w:rsidR="00830FB9">
          <w:rPr>
            <w:noProof/>
            <w:webHidden/>
          </w:rPr>
          <w:fldChar w:fldCharType="separate"/>
        </w:r>
        <w:r w:rsidR="00830FB9">
          <w:rPr>
            <w:noProof/>
            <w:webHidden/>
          </w:rPr>
          <w:t>9</w:t>
        </w:r>
        <w:r w:rsidR="00830FB9">
          <w:rPr>
            <w:noProof/>
            <w:webHidden/>
          </w:rPr>
          <w:fldChar w:fldCharType="end"/>
        </w:r>
      </w:hyperlink>
    </w:p>
    <w:p w14:paraId="6D45CB19" w14:textId="77777777" w:rsidR="00830FB9" w:rsidRDefault="002874B2">
      <w:pPr>
        <w:pStyle w:val="Verzeichnis6"/>
        <w:rPr>
          <w:rFonts w:asciiTheme="minorHAnsi" w:eastAsiaTheme="minorEastAsia" w:hAnsiTheme="minorHAnsi" w:cstheme="minorBidi"/>
          <w:noProof/>
          <w:kern w:val="0"/>
          <w:sz w:val="22"/>
          <w:szCs w:val="22"/>
        </w:rPr>
      </w:pPr>
      <w:hyperlink w:anchor="_Toc512241289" w:history="1">
        <w:r w:rsidR="00830FB9" w:rsidRPr="00AF27DC">
          <w:rPr>
            <w:rStyle w:val="Hyperlink"/>
            <w:noProof/>
          </w:rPr>
          <w:t>b) „Nudging“: Ein Konzept zur Verhaltenssteuerung</w:t>
        </w:r>
        <w:r w:rsidR="00830FB9">
          <w:rPr>
            <w:noProof/>
            <w:webHidden/>
          </w:rPr>
          <w:tab/>
        </w:r>
        <w:r w:rsidR="00830FB9">
          <w:rPr>
            <w:noProof/>
            <w:webHidden/>
          </w:rPr>
          <w:fldChar w:fldCharType="begin"/>
        </w:r>
        <w:r w:rsidR="00830FB9">
          <w:rPr>
            <w:noProof/>
            <w:webHidden/>
          </w:rPr>
          <w:instrText xml:space="preserve"> PAGEREF _Toc512241289 \h </w:instrText>
        </w:r>
        <w:r w:rsidR="00830FB9">
          <w:rPr>
            <w:noProof/>
            <w:webHidden/>
          </w:rPr>
        </w:r>
        <w:r w:rsidR="00830FB9">
          <w:rPr>
            <w:noProof/>
            <w:webHidden/>
          </w:rPr>
          <w:fldChar w:fldCharType="separate"/>
        </w:r>
        <w:r w:rsidR="00830FB9">
          <w:rPr>
            <w:noProof/>
            <w:webHidden/>
          </w:rPr>
          <w:t>9</w:t>
        </w:r>
        <w:r w:rsidR="00830FB9">
          <w:rPr>
            <w:noProof/>
            <w:webHidden/>
          </w:rPr>
          <w:fldChar w:fldCharType="end"/>
        </w:r>
      </w:hyperlink>
    </w:p>
    <w:p w14:paraId="298D6ABB" w14:textId="77777777" w:rsidR="00830FB9" w:rsidRDefault="002874B2">
      <w:pPr>
        <w:pStyle w:val="Verzeichnis4"/>
        <w:rPr>
          <w:rFonts w:asciiTheme="minorHAnsi" w:eastAsiaTheme="minorEastAsia" w:hAnsiTheme="minorHAnsi" w:cstheme="minorBidi"/>
          <w:noProof/>
          <w:kern w:val="0"/>
          <w:sz w:val="22"/>
          <w:szCs w:val="22"/>
        </w:rPr>
      </w:pPr>
      <w:hyperlink w:anchor="_Toc512241290" w:history="1">
        <w:r w:rsidR="00830FB9" w:rsidRPr="00AF27DC">
          <w:rPr>
            <w:rStyle w:val="Hyperlink"/>
            <w:noProof/>
          </w:rPr>
          <w:t>II.</w:t>
        </w:r>
        <w:r w:rsidR="00830FB9">
          <w:rPr>
            <w:rFonts w:asciiTheme="minorHAnsi" w:eastAsiaTheme="minorEastAsia" w:hAnsiTheme="minorHAnsi" w:cstheme="minorBidi"/>
            <w:noProof/>
            <w:kern w:val="0"/>
            <w:sz w:val="22"/>
            <w:szCs w:val="22"/>
          </w:rPr>
          <w:tab/>
        </w:r>
        <w:r w:rsidR="00830FB9" w:rsidRPr="00AF27DC">
          <w:rPr>
            <w:rStyle w:val="Hyperlink"/>
            <w:noProof/>
          </w:rPr>
          <w:t>Proaktive Kommunikation</w:t>
        </w:r>
        <w:r w:rsidR="00830FB9">
          <w:rPr>
            <w:noProof/>
            <w:webHidden/>
          </w:rPr>
          <w:tab/>
        </w:r>
        <w:r w:rsidR="00830FB9">
          <w:rPr>
            <w:noProof/>
            <w:webHidden/>
          </w:rPr>
          <w:fldChar w:fldCharType="begin"/>
        </w:r>
        <w:r w:rsidR="00830FB9">
          <w:rPr>
            <w:noProof/>
            <w:webHidden/>
          </w:rPr>
          <w:instrText xml:space="preserve"> PAGEREF _Toc512241290 \h </w:instrText>
        </w:r>
        <w:r w:rsidR="00830FB9">
          <w:rPr>
            <w:noProof/>
            <w:webHidden/>
          </w:rPr>
        </w:r>
        <w:r w:rsidR="00830FB9">
          <w:rPr>
            <w:noProof/>
            <w:webHidden/>
          </w:rPr>
          <w:fldChar w:fldCharType="separate"/>
        </w:r>
        <w:r w:rsidR="00830FB9">
          <w:rPr>
            <w:noProof/>
            <w:webHidden/>
          </w:rPr>
          <w:t>10</w:t>
        </w:r>
        <w:r w:rsidR="00830FB9">
          <w:rPr>
            <w:noProof/>
            <w:webHidden/>
          </w:rPr>
          <w:fldChar w:fldCharType="end"/>
        </w:r>
      </w:hyperlink>
    </w:p>
    <w:p w14:paraId="31444A19"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291" w:history="1">
        <w:r w:rsidR="00830FB9" w:rsidRPr="00AF27DC">
          <w:rPr>
            <w:rStyle w:val="Hyperlink"/>
            <w:noProof/>
          </w:rPr>
          <w:t>1. Interne Vorarbeiten</w:t>
        </w:r>
        <w:r w:rsidR="00830FB9">
          <w:rPr>
            <w:noProof/>
            <w:webHidden/>
          </w:rPr>
          <w:tab/>
        </w:r>
        <w:r w:rsidR="00830FB9">
          <w:rPr>
            <w:noProof/>
            <w:webHidden/>
          </w:rPr>
          <w:fldChar w:fldCharType="begin"/>
        </w:r>
        <w:r w:rsidR="00830FB9">
          <w:rPr>
            <w:noProof/>
            <w:webHidden/>
          </w:rPr>
          <w:instrText xml:space="preserve"> PAGEREF _Toc512241291 \h </w:instrText>
        </w:r>
        <w:r w:rsidR="00830FB9">
          <w:rPr>
            <w:noProof/>
            <w:webHidden/>
          </w:rPr>
        </w:r>
        <w:r w:rsidR="00830FB9">
          <w:rPr>
            <w:noProof/>
            <w:webHidden/>
          </w:rPr>
          <w:fldChar w:fldCharType="separate"/>
        </w:r>
        <w:r w:rsidR="00830FB9">
          <w:rPr>
            <w:noProof/>
            <w:webHidden/>
          </w:rPr>
          <w:t>10</w:t>
        </w:r>
        <w:r w:rsidR="00830FB9">
          <w:rPr>
            <w:noProof/>
            <w:webHidden/>
          </w:rPr>
          <w:fldChar w:fldCharType="end"/>
        </w:r>
      </w:hyperlink>
    </w:p>
    <w:p w14:paraId="23DB6378" w14:textId="77777777" w:rsidR="00830FB9" w:rsidRDefault="002874B2">
      <w:pPr>
        <w:pStyle w:val="Verzeichnis6"/>
        <w:rPr>
          <w:rFonts w:asciiTheme="minorHAnsi" w:eastAsiaTheme="minorEastAsia" w:hAnsiTheme="minorHAnsi" w:cstheme="minorBidi"/>
          <w:noProof/>
          <w:kern w:val="0"/>
          <w:sz w:val="22"/>
          <w:szCs w:val="22"/>
        </w:rPr>
      </w:pPr>
      <w:hyperlink w:anchor="_Toc512241292" w:history="1">
        <w:r w:rsidR="00830FB9" w:rsidRPr="00AF27DC">
          <w:rPr>
            <w:rStyle w:val="Hyperlink"/>
            <w:noProof/>
          </w:rPr>
          <w:t>a) Verzeichnis der Verarbeitungstätigkeiten (DSGVO), vorm. Verfahrensverzeichnis (BDSG)</w:t>
        </w:r>
        <w:r w:rsidR="00830FB9">
          <w:rPr>
            <w:noProof/>
            <w:webHidden/>
          </w:rPr>
          <w:tab/>
        </w:r>
        <w:r w:rsidR="00830FB9">
          <w:rPr>
            <w:noProof/>
            <w:webHidden/>
          </w:rPr>
          <w:fldChar w:fldCharType="begin"/>
        </w:r>
        <w:r w:rsidR="00830FB9">
          <w:rPr>
            <w:noProof/>
            <w:webHidden/>
          </w:rPr>
          <w:instrText xml:space="preserve"> PAGEREF _Toc512241292 \h </w:instrText>
        </w:r>
        <w:r w:rsidR="00830FB9">
          <w:rPr>
            <w:noProof/>
            <w:webHidden/>
          </w:rPr>
        </w:r>
        <w:r w:rsidR="00830FB9">
          <w:rPr>
            <w:noProof/>
            <w:webHidden/>
          </w:rPr>
          <w:fldChar w:fldCharType="separate"/>
        </w:r>
        <w:r w:rsidR="00830FB9">
          <w:rPr>
            <w:noProof/>
            <w:webHidden/>
          </w:rPr>
          <w:t>10</w:t>
        </w:r>
        <w:r w:rsidR="00830FB9">
          <w:rPr>
            <w:noProof/>
            <w:webHidden/>
          </w:rPr>
          <w:fldChar w:fldCharType="end"/>
        </w:r>
      </w:hyperlink>
    </w:p>
    <w:p w14:paraId="3283C9E3"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3" w:history="1">
        <w:r w:rsidR="00830FB9" w:rsidRPr="00AF27DC">
          <w:rPr>
            <w:rStyle w:val="Hyperlink"/>
            <w:noProof/>
          </w:rPr>
          <w:t>aa) Pflicht zum Verzeichnis von Verarbeitungstätigkeiten</w:t>
        </w:r>
        <w:r w:rsidR="00830FB9">
          <w:rPr>
            <w:noProof/>
            <w:webHidden/>
          </w:rPr>
          <w:tab/>
        </w:r>
        <w:r w:rsidR="00830FB9">
          <w:rPr>
            <w:noProof/>
            <w:webHidden/>
          </w:rPr>
          <w:fldChar w:fldCharType="begin"/>
        </w:r>
        <w:r w:rsidR="00830FB9">
          <w:rPr>
            <w:noProof/>
            <w:webHidden/>
          </w:rPr>
          <w:instrText xml:space="preserve"> PAGEREF _Toc512241293 \h </w:instrText>
        </w:r>
        <w:r w:rsidR="00830FB9">
          <w:rPr>
            <w:noProof/>
            <w:webHidden/>
          </w:rPr>
        </w:r>
        <w:r w:rsidR="00830FB9">
          <w:rPr>
            <w:noProof/>
            <w:webHidden/>
          </w:rPr>
          <w:fldChar w:fldCharType="separate"/>
        </w:r>
        <w:r w:rsidR="00830FB9">
          <w:rPr>
            <w:noProof/>
            <w:webHidden/>
          </w:rPr>
          <w:t>11</w:t>
        </w:r>
        <w:r w:rsidR="00830FB9">
          <w:rPr>
            <w:noProof/>
            <w:webHidden/>
          </w:rPr>
          <w:fldChar w:fldCharType="end"/>
        </w:r>
      </w:hyperlink>
    </w:p>
    <w:p w14:paraId="04E4D466"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4"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_Toc512241294 \h </w:instrText>
        </w:r>
        <w:r w:rsidR="00830FB9">
          <w:rPr>
            <w:noProof/>
            <w:webHidden/>
          </w:rPr>
        </w:r>
        <w:r w:rsidR="00830FB9">
          <w:rPr>
            <w:noProof/>
            <w:webHidden/>
          </w:rPr>
          <w:fldChar w:fldCharType="separate"/>
        </w:r>
        <w:r w:rsidR="00830FB9">
          <w:rPr>
            <w:noProof/>
            <w:webHidden/>
          </w:rPr>
          <w:t>11</w:t>
        </w:r>
        <w:r w:rsidR="00830FB9">
          <w:rPr>
            <w:noProof/>
            <w:webHidden/>
          </w:rPr>
          <w:fldChar w:fldCharType="end"/>
        </w:r>
      </w:hyperlink>
    </w:p>
    <w:p w14:paraId="59B4F2BE"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5" w:history="1">
        <w:r w:rsidR="00830FB9" w:rsidRPr="00AF27DC">
          <w:rPr>
            <w:rStyle w:val="Hyperlink"/>
            <w:noProof/>
          </w:rPr>
          <w:t>cc) Verwendung in der Datenschutzkommunikation</w:t>
        </w:r>
        <w:r w:rsidR="00830FB9">
          <w:rPr>
            <w:noProof/>
            <w:webHidden/>
          </w:rPr>
          <w:tab/>
        </w:r>
        <w:r w:rsidR="00830FB9">
          <w:rPr>
            <w:noProof/>
            <w:webHidden/>
          </w:rPr>
          <w:fldChar w:fldCharType="begin"/>
        </w:r>
        <w:r w:rsidR="00830FB9">
          <w:rPr>
            <w:noProof/>
            <w:webHidden/>
          </w:rPr>
          <w:instrText xml:space="preserve"> PAGEREF _Toc512241295 \h </w:instrText>
        </w:r>
        <w:r w:rsidR="00830FB9">
          <w:rPr>
            <w:noProof/>
            <w:webHidden/>
          </w:rPr>
        </w:r>
        <w:r w:rsidR="00830FB9">
          <w:rPr>
            <w:noProof/>
            <w:webHidden/>
          </w:rPr>
          <w:fldChar w:fldCharType="separate"/>
        </w:r>
        <w:r w:rsidR="00830FB9">
          <w:rPr>
            <w:noProof/>
            <w:webHidden/>
          </w:rPr>
          <w:t>11</w:t>
        </w:r>
        <w:r w:rsidR="00830FB9">
          <w:rPr>
            <w:noProof/>
            <w:webHidden/>
          </w:rPr>
          <w:fldChar w:fldCharType="end"/>
        </w:r>
      </w:hyperlink>
    </w:p>
    <w:p w14:paraId="0DD14AE1" w14:textId="77777777" w:rsidR="00830FB9" w:rsidRDefault="002874B2">
      <w:pPr>
        <w:pStyle w:val="Verzeichnis6"/>
        <w:rPr>
          <w:rFonts w:asciiTheme="minorHAnsi" w:eastAsiaTheme="minorEastAsia" w:hAnsiTheme="minorHAnsi" w:cstheme="minorBidi"/>
          <w:noProof/>
          <w:kern w:val="0"/>
          <w:sz w:val="22"/>
          <w:szCs w:val="22"/>
        </w:rPr>
      </w:pPr>
      <w:hyperlink w:anchor="_Toc512241296" w:history="1">
        <w:r w:rsidR="00830FB9" w:rsidRPr="00AF27DC">
          <w:rPr>
            <w:rStyle w:val="Hyperlink"/>
            <w:noProof/>
          </w:rPr>
          <w:t>b) Datenschutz-Folgenabschätzung (Art. 35 DSGVO)</w:t>
        </w:r>
        <w:r w:rsidR="00830FB9">
          <w:rPr>
            <w:noProof/>
            <w:webHidden/>
          </w:rPr>
          <w:tab/>
        </w:r>
        <w:r w:rsidR="00830FB9">
          <w:rPr>
            <w:noProof/>
            <w:webHidden/>
          </w:rPr>
          <w:fldChar w:fldCharType="begin"/>
        </w:r>
        <w:r w:rsidR="00830FB9">
          <w:rPr>
            <w:noProof/>
            <w:webHidden/>
          </w:rPr>
          <w:instrText xml:space="preserve"> PAGEREF _Toc512241296 \h </w:instrText>
        </w:r>
        <w:r w:rsidR="00830FB9">
          <w:rPr>
            <w:noProof/>
            <w:webHidden/>
          </w:rPr>
        </w:r>
        <w:r w:rsidR="00830FB9">
          <w:rPr>
            <w:noProof/>
            <w:webHidden/>
          </w:rPr>
          <w:fldChar w:fldCharType="separate"/>
        </w:r>
        <w:r w:rsidR="00830FB9">
          <w:rPr>
            <w:noProof/>
            <w:webHidden/>
          </w:rPr>
          <w:t>11</w:t>
        </w:r>
        <w:r w:rsidR="00830FB9">
          <w:rPr>
            <w:noProof/>
            <w:webHidden/>
          </w:rPr>
          <w:fldChar w:fldCharType="end"/>
        </w:r>
      </w:hyperlink>
    </w:p>
    <w:p w14:paraId="313243C6"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7" w:history="1">
        <w:r w:rsidR="00830FB9" w:rsidRPr="00AF27DC">
          <w:rPr>
            <w:rStyle w:val="Hyperlink"/>
            <w:noProof/>
          </w:rPr>
          <w:t>aa) Verfahren</w:t>
        </w:r>
        <w:r w:rsidR="00830FB9">
          <w:rPr>
            <w:noProof/>
            <w:webHidden/>
          </w:rPr>
          <w:tab/>
        </w:r>
        <w:r w:rsidR="00830FB9">
          <w:rPr>
            <w:noProof/>
            <w:webHidden/>
          </w:rPr>
          <w:fldChar w:fldCharType="begin"/>
        </w:r>
        <w:r w:rsidR="00830FB9">
          <w:rPr>
            <w:noProof/>
            <w:webHidden/>
          </w:rPr>
          <w:instrText xml:space="preserve"> PAGEREF _Toc512241297 \h </w:instrText>
        </w:r>
        <w:r w:rsidR="00830FB9">
          <w:rPr>
            <w:noProof/>
            <w:webHidden/>
          </w:rPr>
        </w:r>
        <w:r w:rsidR="00830FB9">
          <w:rPr>
            <w:noProof/>
            <w:webHidden/>
          </w:rPr>
          <w:fldChar w:fldCharType="separate"/>
        </w:r>
        <w:r w:rsidR="00830FB9">
          <w:rPr>
            <w:noProof/>
            <w:webHidden/>
          </w:rPr>
          <w:t>12</w:t>
        </w:r>
        <w:r w:rsidR="00830FB9">
          <w:rPr>
            <w:noProof/>
            <w:webHidden/>
          </w:rPr>
          <w:fldChar w:fldCharType="end"/>
        </w:r>
      </w:hyperlink>
    </w:p>
    <w:p w14:paraId="705ED8F2"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8"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_Toc512241298 \h </w:instrText>
        </w:r>
        <w:r w:rsidR="00830FB9">
          <w:rPr>
            <w:noProof/>
            <w:webHidden/>
          </w:rPr>
        </w:r>
        <w:r w:rsidR="00830FB9">
          <w:rPr>
            <w:noProof/>
            <w:webHidden/>
          </w:rPr>
          <w:fldChar w:fldCharType="separate"/>
        </w:r>
        <w:r w:rsidR="00830FB9">
          <w:rPr>
            <w:noProof/>
            <w:webHidden/>
          </w:rPr>
          <w:t>12</w:t>
        </w:r>
        <w:r w:rsidR="00830FB9">
          <w:rPr>
            <w:noProof/>
            <w:webHidden/>
          </w:rPr>
          <w:fldChar w:fldCharType="end"/>
        </w:r>
      </w:hyperlink>
    </w:p>
    <w:p w14:paraId="01B5A9D7"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299" w:history="1">
        <w:r w:rsidR="00830FB9" w:rsidRPr="00AF27DC">
          <w:rPr>
            <w:rStyle w:val="Hyperlink"/>
            <w:noProof/>
          </w:rPr>
          <w:t>cc) Verwendung in der Datenschutzkommunikation</w:t>
        </w:r>
        <w:r w:rsidR="00830FB9">
          <w:rPr>
            <w:noProof/>
            <w:webHidden/>
          </w:rPr>
          <w:tab/>
        </w:r>
        <w:r w:rsidR="00830FB9">
          <w:rPr>
            <w:noProof/>
            <w:webHidden/>
          </w:rPr>
          <w:fldChar w:fldCharType="begin"/>
        </w:r>
        <w:r w:rsidR="00830FB9">
          <w:rPr>
            <w:noProof/>
            <w:webHidden/>
          </w:rPr>
          <w:instrText xml:space="preserve"> PAGEREF _Toc512241299 \h </w:instrText>
        </w:r>
        <w:r w:rsidR="00830FB9">
          <w:rPr>
            <w:noProof/>
            <w:webHidden/>
          </w:rPr>
        </w:r>
        <w:r w:rsidR="00830FB9">
          <w:rPr>
            <w:noProof/>
            <w:webHidden/>
          </w:rPr>
          <w:fldChar w:fldCharType="separate"/>
        </w:r>
        <w:r w:rsidR="00830FB9">
          <w:rPr>
            <w:noProof/>
            <w:webHidden/>
          </w:rPr>
          <w:t>13</w:t>
        </w:r>
        <w:r w:rsidR="00830FB9">
          <w:rPr>
            <w:noProof/>
            <w:webHidden/>
          </w:rPr>
          <w:fldChar w:fldCharType="end"/>
        </w:r>
      </w:hyperlink>
    </w:p>
    <w:p w14:paraId="31413C34"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00" w:history="1">
        <w:r w:rsidR="00830FB9" w:rsidRPr="00AF27DC">
          <w:rPr>
            <w:rStyle w:val="Hyperlink"/>
            <w:noProof/>
          </w:rPr>
          <w:t>2. Übernahme von externen Standards</w:t>
        </w:r>
        <w:r w:rsidR="00830FB9">
          <w:rPr>
            <w:noProof/>
            <w:webHidden/>
          </w:rPr>
          <w:tab/>
        </w:r>
        <w:r w:rsidR="00830FB9">
          <w:rPr>
            <w:noProof/>
            <w:webHidden/>
          </w:rPr>
          <w:fldChar w:fldCharType="begin"/>
        </w:r>
        <w:r w:rsidR="00830FB9">
          <w:rPr>
            <w:noProof/>
            <w:webHidden/>
          </w:rPr>
          <w:instrText xml:space="preserve"> PAGEREF _Toc512241300 \h </w:instrText>
        </w:r>
        <w:r w:rsidR="00830FB9">
          <w:rPr>
            <w:noProof/>
            <w:webHidden/>
          </w:rPr>
        </w:r>
        <w:r w:rsidR="00830FB9">
          <w:rPr>
            <w:noProof/>
            <w:webHidden/>
          </w:rPr>
          <w:fldChar w:fldCharType="separate"/>
        </w:r>
        <w:r w:rsidR="00830FB9">
          <w:rPr>
            <w:noProof/>
            <w:webHidden/>
          </w:rPr>
          <w:t>13</w:t>
        </w:r>
        <w:r w:rsidR="00830FB9">
          <w:rPr>
            <w:noProof/>
            <w:webHidden/>
          </w:rPr>
          <w:fldChar w:fldCharType="end"/>
        </w:r>
      </w:hyperlink>
    </w:p>
    <w:p w14:paraId="2EAF58FB" w14:textId="77777777" w:rsidR="00830FB9" w:rsidRDefault="002874B2">
      <w:pPr>
        <w:pStyle w:val="Verzeichnis6"/>
        <w:rPr>
          <w:rFonts w:asciiTheme="minorHAnsi" w:eastAsiaTheme="minorEastAsia" w:hAnsiTheme="minorHAnsi" w:cstheme="minorBidi"/>
          <w:noProof/>
          <w:kern w:val="0"/>
          <w:sz w:val="22"/>
          <w:szCs w:val="22"/>
        </w:rPr>
      </w:pPr>
      <w:hyperlink w:anchor="_Toc512241301" w:history="1">
        <w:r w:rsidR="00830FB9" w:rsidRPr="00AF27DC">
          <w:rPr>
            <w:rStyle w:val="Hyperlink"/>
            <w:noProof/>
          </w:rPr>
          <w:t>a) Verhaltensregeln („Codes of Conduct“) (Art. 40 DSGVO)</w:t>
        </w:r>
        <w:r w:rsidR="00830FB9">
          <w:rPr>
            <w:noProof/>
            <w:webHidden/>
          </w:rPr>
          <w:tab/>
        </w:r>
        <w:r w:rsidR="00830FB9">
          <w:rPr>
            <w:noProof/>
            <w:webHidden/>
          </w:rPr>
          <w:fldChar w:fldCharType="begin"/>
        </w:r>
        <w:r w:rsidR="00830FB9">
          <w:rPr>
            <w:noProof/>
            <w:webHidden/>
          </w:rPr>
          <w:instrText xml:space="preserve"> PAGEREF _Toc512241301 \h </w:instrText>
        </w:r>
        <w:r w:rsidR="00830FB9">
          <w:rPr>
            <w:noProof/>
            <w:webHidden/>
          </w:rPr>
        </w:r>
        <w:r w:rsidR="00830FB9">
          <w:rPr>
            <w:noProof/>
            <w:webHidden/>
          </w:rPr>
          <w:fldChar w:fldCharType="separate"/>
        </w:r>
        <w:r w:rsidR="00830FB9">
          <w:rPr>
            <w:noProof/>
            <w:webHidden/>
          </w:rPr>
          <w:t>13</w:t>
        </w:r>
        <w:r w:rsidR="00830FB9">
          <w:rPr>
            <w:noProof/>
            <w:webHidden/>
          </w:rPr>
          <w:fldChar w:fldCharType="end"/>
        </w:r>
      </w:hyperlink>
    </w:p>
    <w:p w14:paraId="17F5679C"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2" w:history="1">
        <w:r w:rsidR="00830FB9" w:rsidRPr="00AF27DC">
          <w:rPr>
            <w:rStyle w:val="Hyperlink"/>
            <w:noProof/>
          </w:rPr>
          <w:t>aa) Verfahren</w:t>
        </w:r>
        <w:r w:rsidR="00830FB9">
          <w:rPr>
            <w:noProof/>
            <w:webHidden/>
          </w:rPr>
          <w:tab/>
        </w:r>
        <w:r w:rsidR="00830FB9">
          <w:rPr>
            <w:noProof/>
            <w:webHidden/>
          </w:rPr>
          <w:fldChar w:fldCharType="begin"/>
        </w:r>
        <w:r w:rsidR="00830FB9">
          <w:rPr>
            <w:noProof/>
            <w:webHidden/>
          </w:rPr>
          <w:instrText xml:space="preserve"> PAGEREF _Toc512241302 \h </w:instrText>
        </w:r>
        <w:r w:rsidR="00830FB9">
          <w:rPr>
            <w:noProof/>
            <w:webHidden/>
          </w:rPr>
        </w:r>
        <w:r w:rsidR="00830FB9">
          <w:rPr>
            <w:noProof/>
            <w:webHidden/>
          </w:rPr>
          <w:fldChar w:fldCharType="separate"/>
        </w:r>
        <w:r w:rsidR="00830FB9">
          <w:rPr>
            <w:noProof/>
            <w:webHidden/>
          </w:rPr>
          <w:t>13</w:t>
        </w:r>
        <w:r w:rsidR="00830FB9">
          <w:rPr>
            <w:noProof/>
            <w:webHidden/>
          </w:rPr>
          <w:fldChar w:fldCharType="end"/>
        </w:r>
      </w:hyperlink>
    </w:p>
    <w:p w14:paraId="3C9477A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3" w:history="1">
        <w:r w:rsidR="00830FB9" w:rsidRPr="00AF27DC">
          <w:rPr>
            <w:rStyle w:val="Hyperlink"/>
            <w:noProof/>
          </w:rPr>
          <w:t>bb) Möglicher Inhalt</w:t>
        </w:r>
        <w:r w:rsidR="00830FB9">
          <w:rPr>
            <w:noProof/>
            <w:webHidden/>
          </w:rPr>
          <w:tab/>
        </w:r>
        <w:r w:rsidR="00830FB9">
          <w:rPr>
            <w:noProof/>
            <w:webHidden/>
          </w:rPr>
          <w:fldChar w:fldCharType="begin"/>
        </w:r>
        <w:r w:rsidR="00830FB9">
          <w:rPr>
            <w:noProof/>
            <w:webHidden/>
          </w:rPr>
          <w:instrText xml:space="preserve"> PAGEREF _Toc512241303 \h </w:instrText>
        </w:r>
        <w:r w:rsidR="00830FB9">
          <w:rPr>
            <w:noProof/>
            <w:webHidden/>
          </w:rPr>
        </w:r>
        <w:r w:rsidR="00830FB9">
          <w:rPr>
            <w:noProof/>
            <w:webHidden/>
          </w:rPr>
          <w:fldChar w:fldCharType="separate"/>
        </w:r>
        <w:r w:rsidR="00830FB9">
          <w:rPr>
            <w:noProof/>
            <w:webHidden/>
          </w:rPr>
          <w:t>14</w:t>
        </w:r>
        <w:r w:rsidR="00830FB9">
          <w:rPr>
            <w:noProof/>
            <w:webHidden/>
          </w:rPr>
          <w:fldChar w:fldCharType="end"/>
        </w:r>
      </w:hyperlink>
    </w:p>
    <w:p w14:paraId="26BF3369"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4" w:history="1">
        <w:r w:rsidR="00830FB9" w:rsidRPr="00AF27DC">
          <w:rPr>
            <w:rStyle w:val="Hyperlink"/>
            <w:noProof/>
          </w:rPr>
          <w:t>cc) Verwendung in der Datenschutzkommunikation</w:t>
        </w:r>
        <w:r w:rsidR="00830FB9">
          <w:rPr>
            <w:noProof/>
            <w:webHidden/>
          </w:rPr>
          <w:tab/>
        </w:r>
        <w:r w:rsidR="00830FB9">
          <w:rPr>
            <w:noProof/>
            <w:webHidden/>
          </w:rPr>
          <w:fldChar w:fldCharType="begin"/>
        </w:r>
        <w:r w:rsidR="00830FB9">
          <w:rPr>
            <w:noProof/>
            <w:webHidden/>
          </w:rPr>
          <w:instrText xml:space="preserve"> PAGEREF _Toc512241304 \h </w:instrText>
        </w:r>
        <w:r w:rsidR="00830FB9">
          <w:rPr>
            <w:noProof/>
            <w:webHidden/>
          </w:rPr>
        </w:r>
        <w:r w:rsidR="00830FB9">
          <w:rPr>
            <w:noProof/>
            <w:webHidden/>
          </w:rPr>
          <w:fldChar w:fldCharType="separate"/>
        </w:r>
        <w:r w:rsidR="00830FB9">
          <w:rPr>
            <w:noProof/>
            <w:webHidden/>
          </w:rPr>
          <w:t>14</w:t>
        </w:r>
        <w:r w:rsidR="00830FB9">
          <w:rPr>
            <w:noProof/>
            <w:webHidden/>
          </w:rPr>
          <w:fldChar w:fldCharType="end"/>
        </w:r>
      </w:hyperlink>
    </w:p>
    <w:p w14:paraId="102412A6" w14:textId="77777777" w:rsidR="00830FB9" w:rsidRDefault="002874B2">
      <w:pPr>
        <w:pStyle w:val="Verzeichnis6"/>
        <w:rPr>
          <w:rFonts w:asciiTheme="minorHAnsi" w:eastAsiaTheme="minorEastAsia" w:hAnsiTheme="minorHAnsi" w:cstheme="minorBidi"/>
          <w:noProof/>
          <w:kern w:val="0"/>
          <w:sz w:val="22"/>
          <w:szCs w:val="22"/>
        </w:rPr>
      </w:pPr>
      <w:hyperlink w:anchor="_Toc512241305" w:history="1">
        <w:r w:rsidR="00830FB9" w:rsidRPr="00AF27DC">
          <w:rPr>
            <w:rStyle w:val="Hyperlink"/>
            <w:noProof/>
          </w:rPr>
          <w:t>b) Binding Corporate Rules</w:t>
        </w:r>
        <w:r w:rsidR="00830FB9">
          <w:rPr>
            <w:noProof/>
            <w:webHidden/>
          </w:rPr>
          <w:tab/>
        </w:r>
        <w:r w:rsidR="00830FB9">
          <w:rPr>
            <w:noProof/>
            <w:webHidden/>
          </w:rPr>
          <w:fldChar w:fldCharType="begin"/>
        </w:r>
        <w:r w:rsidR="00830FB9">
          <w:rPr>
            <w:noProof/>
            <w:webHidden/>
          </w:rPr>
          <w:instrText xml:space="preserve"> PAGEREF _Toc512241305 \h </w:instrText>
        </w:r>
        <w:r w:rsidR="00830FB9">
          <w:rPr>
            <w:noProof/>
            <w:webHidden/>
          </w:rPr>
        </w:r>
        <w:r w:rsidR="00830FB9">
          <w:rPr>
            <w:noProof/>
            <w:webHidden/>
          </w:rPr>
          <w:fldChar w:fldCharType="separate"/>
        </w:r>
        <w:r w:rsidR="00830FB9">
          <w:rPr>
            <w:noProof/>
            <w:webHidden/>
          </w:rPr>
          <w:t>15</w:t>
        </w:r>
        <w:r w:rsidR="00830FB9">
          <w:rPr>
            <w:noProof/>
            <w:webHidden/>
          </w:rPr>
          <w:fldChar w:fldCharType="end"/>
        </w:r>
      </w:hyperlink>
    </w:p>
    <w:p w14:paraId="52EC1311"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6" w:history="1">
        <w:r w:rsidR="00830FB9" w:rsidRPr="00AF27DC">
          <w:rPr>
            <w:rStyle w:val="Hyperlink"/>
            <w:noProof/>
          </w:rPr>
          <w:t>aa) Verfahren</w:t>
        </w:r>
        <w:r w:rsidR="00830FB9">
          <w:rPr>
            <w:noProof/>
            <w:webHidden/>
          </w:rPr>
          <w:tab/>
        </w:r>
        <w:r w:rsidR="00830FB9">
          <w:rPr>
            <w:noProof/>
            <w:webHidden/>
          </w:rPr>
          <w:fldChar w:fldCharType="begin"/>
        </w:r>
        <w:r w:rsidR="00830FB9">
          <w:rPr>
            <w:noProof/>
            <w:webHidden/>
          </w:rPr>
          <w:instrText xml:space="preserve"> PAGEREF _Toc512241306 \h </w:instrText>
        </w:r>
        <w:r w:rsidR="00830FB9">
          <w:rPr>
            <w:noProof/>
            <w:webHidden/>
          </w:rPr>
        </w:r>
        <w:r w:rsidR="00830FB9">
          <w:rPr>
            <w:noProof/>
            <w:webHidden/>
          </w:rPr>
          <w:fldChar w:fldCharType="separate"/>
        </w:r>
        <w:r w:rsidR="00830FB9">
          <w:rPr>
            <w:noProof/>
            <w:webHidden/>
          </w:rPr>
          <w:t>15</w:t>
        </w:r>
        <w:r w:rsidR="00830FB9">
          <w:rPr>
            <w:noProof/>
            <w:webHidden/>
          </w:rPr>
          <w:fldChar w:fldCharType="end"/>
        </w:r>
      </w:hyperlink>
    </w:p>
    <w:p w14:paraId="45A445D2"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7"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_Toc512241307 \h </w:instrText>
        </w:r>
        <w:r w:rsidR="00830FB9">
          <w:rPr>
            <w:noProof/>
            <w:webHidden/>
          </w:rPr>
        </w:r>
        <w:r w:rsidR="00830FB9">
          <w:rPr>
            <w:noProof/>
            <w:webHidden/>
          </w:rPr>
          <w:fldChar w:fldCharType="separate"/>
        </w:r>
        <w:r w:rsidR="00830FB9">
          <w:rPr>
            <w:noProof/>
            <w:webHidden/>
          </w:rPr>
          <w:t>15</w:t>
        </w:r>
        <w:r w:rsidR="00830FB9">
          <w:rPr>
            <w:noProof/>
            <w:webHidden/>
          </w:rPr>
          <w:fldChar w:fldCharType="end"/>
        </w:r>
      </w:hyperlink>
    </w:p>
    <w:p w14:paraId="4A17708A"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08" w:history="1">
        <w:r w:rsidR="00830FB9" w:rsidRPr="00AF27DC">
          <w:rPr>
            <w:rStyle w:val="Hyperlink"/>
            <w:noProof/>
          </w:rPr>
          <w:t>cc) Verwendung in der Datenschutzkommunikation</w:t>
        </w:r>
        <w:r w:rsidR="00830FB9">
          <w:rPr>
            <w:noProof/>
            <w:webHidden/>
          </w:rPr>
          <w:tab/>
        </w:r>
        <w:r w:rsidR="00830FB9">
          <w:rPr>
            <w:noProof/>
            <w:webHidden/>
          </w:rPr>
          <w:fldChar w:fldCharType="begin"/>
        </w:r>
        <w:r w:rsidR="00830FB9">
          <w:rPr>
            <w:noProof/>
            <w:webHidden/>
          </w:rPr>
          <w:instrText xml:space="preserve"> PAGEREF _Toc512241308 \h </w:instrText>
        </w:r>
        <w:r w:rsidR="00830FB9">
          <w:rPr>
            <w:noProof/>
            <w:webHidden/>
          </w:rPr>
        </w:r>
        <w:r w:rsidR="00830FB9">
          <w:rPr>
            <w:noProof/>
            <w:webHidden/>
          </w:rPr>
          <w:fldChar w:fldCharType="separate"/>
        </w:r>
        <w:r w:rsidR="00830FB9">
          <w:rPr>
            <w:noProof/>
            <w:webHidden/>
          </w:rPr>
          <w:t>15</w:t>
        </w:r>
        <w:r w:rsidR="00830FB9">
          <w:rPr>
            <w:noProof/>
            <w:webHidden/>
          </w:rPr>
          <w:fldChar w:fldCharType="end"/>
        </w:r>
      </w:hyperlink>
    </w:p>
    <w:p w14:paraId="00454384" w14:textId="77777777" w:rsidR="00830FB9" w:rsidRDefault="002874B2">
      <w:pPr>
        <w:pStyle w:val="Verzeichnis6"/>
        <w:rPr>
          <w:rFonts w:asciiTheme="minorHAnsi" w:eastAsiaTheme="minorEastAsia" w:hAnsiTheme="minorHAnsi" w:cstheme="minorBidi"/>
          <w:noProof/>
          <w:kern w:val="0"/>
          <w:sz w:val="22"/>
          <w:szCs w:val="22"/>
        </w:rPr>
      </w:pPr>
      <w:hyperlink w:anchor="_Toc512241309" w:history="1">
        <w:r w:rsidR="00830FB9" w:rsidRPr="00AF27DC">
          <w:rPr>
            <w:rStyle w:val="Hyperlink"/>
            <w:noProof/>
          </w:rPr>
          <w:t>c) Zertifikate und Datenschutz-Siegel</w:t>
        </w:r>
        <w:r w:rsidR="00830FB9">
          <w:rPr>
            <w:noProof/>
            <w:webHidden/>
          </w:rPr>
          <w:tab/>
        </w:r>
        <w:r w:rsidR="00830FB9">
          <w:rPr>
            <w:noProof/>
            <w:webHidden/>
          </w:rPr>
          <w:fldChar w:fldCharType="begin"/>
        </w:r>
        <w:r w:rsidR="00830FB9">
          <w:rPr>
            <w:noProof/>
            <w:webHidden/>
          </w:rPr>
          <w:instrText xml:space="preserve"> PAGEREF _Toc512241309 \h </w:instrText>
        </w:r>
        <w:r w:rsidR="00830FB9">
          <w:rPr>
            <w:noProof/>
            <w:webHidden/>
          </w:rPr>
        </w:r>
        <w:r w:rsidR="00830FB9">
          <w:rPr>
            <w:noProof/>
            <w:webHidden/>
          </w:rPr>
          <w:fldChar w:fldCharType="separate"/>
        </w:r>
        <w:r w:rsidR="00830FB9">
          <w:rPr>
            <w:noProof/>
            <w:webHidden/>
          </w:rPr>
          <w:t>16</w:t>
        </w:r>
        <w:r w:rsidR="00830FB9">
          <w:rPr>
            <w:noProof/>
            <w:webHidden/>
          </w:rPr>
          <w:fldChar w:fldCharType="end"/>
        </w:r>
      </w:hyperlink>
    </w:p>
    <w:p w14:paraId="7C3BC936"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0" w:history="1">
        <w:r w:rsidR="00830FB9" w:rsidRPr="00AF27DC">
          <w:rPr>
            <w:rStyle w:val="Hyperlink"/>
            <w:noProof/>
          </w:rPr>
          <w:t>aa) Verfahren</w:t>
        </w:r>
        <w:r w:rsidR="00830FB9">
          <w:rPr>
            <w:noProof/>
            <w:webHidden/>
          </w:rPr>
          <w:tab/>
        </w:r>
        <w:r w:rsidR="00830FB9">
          <w:rPr>
            <w:noProof/>
            <w:webHidden/>
          </w:rPr>
          <w:fldChar w:fldCharType="begin"/>
        </w:r>
        <w:r w:rsidR="00830FB9">
          <w:rPr>
            <w:noProof/>
            <w:webHidden/>
          </w:rPr>
          <w:instrText xml:space="preserve"> PAGEREF _Toc512241310 \h </w:instrText>
        </w:r>
        <w:r w:rsidR="00830FB9">
          <w:rPr>
            <w:noProof/>
            <w:webHidden/>
          </w:rPr>
        </w:r>
        <w:r w:rsidR="00830FB9">
          <w:rPr>
            <w:noProof/>
            <w:webHidden/>
          </w:rPr>
          <w:fldChar w:fldCharType="separate"/>
        </w:r>
        <w:r w:rsidR="00830FB9">
          <w:rPr>
            <w:noProof/>
            <w:webHidden/>
          </w:rPr>
          <w:t>16</w:t>
        </w:r>
        <w:r w:rsidR="00830FB9">
          <w:rPr>
            <w:noProof/>
            <w:webHidden/>
          </w:rPr>
          <w:fldChar w:fldCharType="end"/>
        </w:r>
      </w:hyperlink>
    </w:p>
    <w:p w14:paraId="1CA3078B"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1"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_Toc512241311 \h </w:instrText>
        </w:r>
        <w:r w:rsidR="00830FB9">
          <w:rPr>
            <w:noProof/>
            <w:webHidden/>
          </w:rPr>
        </w:r>
        <w:r w:rsidR="00830FB9">
          <w:rPr>
            <w:noProof/>
            <w:webHidden/>
          </w:rPr>
          <w:fldChar w:fldCharType="separate"/>
        </w:r>
        <w:r w:rsidR="00830FB9">
          <w:rPr>
            <w:noProof/>
            <w:webHidden/>
          </w:rPr>
          <w:t>16</w:t>
        </w:r>
        <w:r w:rsidR="00830FB9">
          <w:rPr>
            <w:noProof/>
            <w:webHidden/>
          </w:rPr>
          <w:fldChar w:fldCharType="end"/>
        </w:r>
      </w:hyperlink>
    </w:p>
    <w:p w14:paraId="35652927"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2" w:history="1">
        <w:r w:rsidR="00830FB9" w:rsidRPr="00AF27DC">
          <w:rPr>
            <w:rStyle w:val="Hyperlink"/>
            <w:noProof/>
          </w:rPr>
          <w:t>cc) Verwendung in der Datenschutzkommunikation</w:t>
        </w:r>
        <w:r w:rsidR="00830FB9">
          <w:rPr>
            <w:noProof/>
            <w:webHidden/>
          </w:rPr>
          <w:tab/>
        </w:r>
        <w:r w:rsidR="00830FB9">
          <w:rPr>
            <w:noProof/>
            <w:webHidden/>
          </w:rPr>
          <w:fldChar w:fldCharType="begin"/>
        </w:r>
        <w:r w:rsidR="00830FB9">
          <w:rPr>
            <w:noProof/>
            <w:webHidden/>
          </w:rPr>
          <w:instrText xml:space="preserve"> PAGEREF _Toc512241312 \h </w:instrText>
        </w:r>
        <w:r w:rsidR="00830FB9">
          <w:rPr>
            <w:noProof/>
            <w:webHidden/>
          </w:rPr>
        </w:r>
        <w:r w:rsidR="00830FB9">
          <w:rPr>
            <w:noProof/>
            <w:webHidden/>
          </w:rPr>
          <w:fldChar w:fldCharType="separate"/>
        </w:r>
        <w:r w:rsidR="00830FB9">
          <w:rPr>
            <w:noProof/>
            <w:webHidden/>
          </w:rPr>
          <w:t>17</w:t>
        </w:r>
        <w:r w:rsidR="00830FB9">
          <w:rPr>
            <w:noProof/>
            <w:webHidden/>
          </w:rPr>
          <w:fldChar w:fldCharType="end"/>
        </w:r>
      </w:hyperlink>
    </w:p>
    <w:p w14:paraId="04E885DA"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13" w:history="1">
        <w:r w:rsidR="00830FB9" w:rsidRPr="00AF27DC">
          <w:rPr>
            <w:rStyle w:val="Hyperlink"/>
            <w:noProof/>
          </w:rPr>
          <w:t>3. Freiwillige allgemeine Datenschutzkommunikation (Privacy Policies)</w:t>
        </w:r>
        <w:r w:rsidR="00830FB9">
          <w:rPr>
            <w:noProof/>
            <w:webHidden/>
          </w:rPr>
          <w:tab/>
        </w:r>
        <w:r w:rsidR="00830FB9">
          <w:rPr>
            <w:noProof/>
            <w:webHidden/>
          </w:rPr>
          <w:fldChar w:fldCharType="begin"/>
        </w:r>
        <w:r w:rsidR="00830FB9">
          <w:rPr>
            <w:noProof/>
            <w:webHidden/>
          </w:rPr>
          <w:instrText xml:space="preserve"> PAGEREF _Toc512241313 \h </w:instrText>
        </w:r>
        <w:r w:rsidR="00830FB9">
          <w:rPr>
            <w:noProof/>
            <w:webHidden/>
          </w:rPr>
        </w:r>
        <w:r w:rsidR="00830FB9">
          <w:rPr>
            <w:noProof/>
            <w:webHidden/>
          </w:rPr>
          <w:fldChar w:fldCharType="separate"/>
        </w:r>
        <w:r w:rsidR="00830FB9">
          <w:rPr>
            <w:noProof/>
            <w:webHidden/>
          </w:rPr>
          <w:t>17</w:t>
        </w:r>
        <w:r w:rsidR="00830FB9">
          <w:rPr>
            <w:noProof/>
            <w:webHidden/>
          </w:rPr>
          <w:fldChar w:fldCharType="end"/>
        </w:r>
      </w:hyperlink>
    </w:p>
    <w:p w14:paraId="6763B703" w14:textId="77777777" w:rsidR="00830FB9" w:rsidRDefault="002874B2">
      <w:pPr>
        <w:pStyle w:val="Verzeichnis6"/>
        <w:rPr>
          <w:rFonts w:asciiTheme="minorHAnsi" w:eastAsiaTheme="minorEastAsia" w:hAnsiTheme="minorHAnsi" w:cstheme="minorBidi"/>
          <w:noProof/>
          <w:kern w:val="0"/>
          <w:sz w:val="22"/>
          <w:szCs w:val="22"/>
        </w:rPr>
      </w:pPr>
      <w:hyperlink w:anchor="_Toc512241314" w:history="1">
        <w:r w:rsidR="00830FB9" w:rsidRPr="00AF27DC">
          <w:rPr>
            <w:rStyle w:val="Hyperlink"/>
            <w:noProof/>
          </w:rPr>
          <w:t>a) Kein formelles Verfahren</w:t>
        </w:r>
        <w:r w:rsidR="00830FB9">
          <w:rPr>
            <w:noProof/>
            <w:webHidden/>
          </w:rPr>
          <w:tab/>
        </w:r>
        <w:r w:rsidR="00830FB9">
          <w:rPr>
            <w:noProof/>
            <w:webHidden/>
          </w:rPr>
          <w:fldChar w:fldCharType="begin"/>
        </w:r>
        <w:r w:rsidR="00830FB9">
          <w:rPr>
            <w:noProof/>
            <w:webHidden/>
          </w:rPr>
          <w:instrText xml:space="preserve"> PAGEREF _Toc512241314 \h </w:instrText>
        </w:r>
        <w:r w:rsidR="00830FB9">
          <w:rPr>
            <w:noProof/>
            <w:webHidden/>
          </w:rPr>
        </w:r>
        <w:r w:rsidR="00830FB9">
          <w:rPr>
            <w:noProof/>
            <w:webHidden/>
          </w:rPr>
          <w:fldChar w:fldCharType="separate"/>
        </w:r>
        <w:r w:rsidR="00830FB9">
          <w:rPr>
            <w:noProof/>
            <w:webHidden/>
          </w:rPr>
          <w:t>17</w:t>
        </w:r>
        <w:r w:rsidR="00830FB9">
          <w:rPr>
            <w:noProof/>
            <w:webHidden/>
          </w:rPr>
          <w:fldChar w:fldCharType="end"/>
        </w:r>
      </w:hyperlink>
    </w:p>
    <w:p w14:paraId="7770DE7B" w14:textId="77777777" w:rsidR="00830FB9" w:rsidRDefault="002874B2">
      <w:pPr>
        <w:pStyle w:val="Verzeichnis6"/>
        <w:rPr>
          <w:rFonts w:asciiTheme="minorHAnsi" w:eastAsiaTheme="minorEastAsia" w:hAnsiTheme="minorHAnsi" w:cstheme="minorBidi"/>
          <w:noProof/>
          <w:kern w:val="0"/>
          <w:sz w:val="22"/>
          <w:szCs w:val="22"/>
        </w:rPr>
      </w:pPr>
      <w:hyperlink w:anchor="_Toc512241315" w:history="1">
        <w:r w:rsidR="00830FB9" w:rsidRPr="00AF27DC">
          <w:rPr>
            <w:rStyle w:val="Hyperlink"/>
            <w:noProof/>
          </w:rPr>
          <w:t>b) Inhaltliche Anforderungen (Werbende Verständlichkeit von Privacy Policies)</w:t>
        </w:r>
        <w:r w:rsidR="00830FB9">
          <w:rPr>
            <w:noProof/>
            <w:webHidden/>
          </w:rPr>
          <w:tab/>
        </w:r>
        <w:r w:rsidR="00830FB9">
          <w:rPr>
            <w:noProof/>
            <w:webHidden/>
          </w:rPr>
          <w:fldChar w:fldCharType="begin"/>
        </w:r>
        <w:r w:rsidR="00830FB9">
          <w:rPr>
            <w:noProof/>
            <w:webHidden/>
          </w:rPr>
          <w:instrText xml:space="preserve"> PAGEREF _Toc512241315 \h </w:instrText>
        </w:r>
        <w:r w:rsidR="00830FB9">
          <w:rPr>
            <w:noProof/>
            <w:webHidden/>
          </w:rPr>
        </w:r>
        <w:r w:rsidR="00830FB9">
          <w:rPr>
            <w:noProof/>
            <w:webHidden/>
          </w:rPr>
          <w:fldChar w:fldCharType="separate"/>
        </w:r>
        <w:r w:rsidR="00830FB9">
          <w:rPr>
            <w:noProof/>
            <w:webHidden/>
          </w:rPr>
          <w:t>18</w:t>
        </w:r>
        <w:r w:rsidR="00830FB9">
          <w:rPr>
            <w:noProof/>
            <w:webHidden/>
          </w:rPr>
          <w:fldChar w:fldCharType="end"/>
        </w:r>
      </w:hyperlink>
    </w:p>
    <w:p w14:paraId="40140035"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6" w:history="1">
        <w:r w:rsidR="00830FB9" w:rsidRPr="00AF27DC">
          <w:rPr>
            <w:rStyle w:val="Hyperlink"/>
            <w:noProof/>
          </w:rPr>
          <w:t>aa) Kommunikation durch Layout</w:t>
        </w:r>
        <w:r w:rsidR="00830FB9">
          <w:rPr>
            <w:noProof/>
            <w:webHidden/>
          </w:rPr>
          <w:tab/>
        </w:r>
        <w:r w:rsidR="00830FB9">
          <w:rPr>
            <w:noProof/>
            <w:webHidden/>
          </w:rPr>
          <w:fldChar w:fldCharType="begin"/>
        </w:r>
        <w:r w:rsidR="00830FB9">
          <w:rPr>
            <w:noProof/>
            <w:webHidden/>
          </w:rPr>
          <w:instrText xml:space="preserve"> PAGEREF _Toc512241316 \h </w:instrText>
        </w:r>
        <w:r w:rsidR="00830FB9">
          <w:rPr>
            <w:noProof/>
            <w:webHidden/>
          </w:rPr>
        </w:r>
        <w:r w:rsidR="00830FB9">
          <w:rPr>
            <w:noProof/>
            <w:webHidden/>
          </w:rPr>
          <w:fldChar w:fldCharType="separate"/>
        </w:r>
        <w:r w:rsidR="00830FB9">
          <w:rPr>
            <w:noProof/>
            <w:webHidden/>
          </w:rPr>
          <w:t>18</w:t>
        </w:r>
        <w:r w:rsidR="00830FB9">
          <w:rPr>
            <w:noProof/>
            <w:webHidden/>
          </w:rPr>
          <w:fldChar w:fldCharType="end"/>
        </w:r>
      </w:hyperlink>
    </w:p>
    <w:p w14:paraId="5A58BDE7"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7" w:history="1">
        <w:r w:rsidR="00830FB9" w:rsidRPr="00AF27DC">
          <w:rPr>
            <w:rStyle w:val="Hyperlink"/>
            <w:noProof/>
          </w:rPr>
          <w:t>bb) Besonderheiten der Mensch-Maschine-Kommunikation</w:t>
        </w:r>
        <w:r w:rsidR="00830FB9">
          <w:rPr>
            <w:noProof/>
            <w:webHidden/>
          </w:rPr>
          <w:tab/>
        </w:r>
        <w:r w:rsidR="00830FB9">
          <w:rPr>
            <w:noProof/>
            <w:webHidden/>
          </w:rPr>
          <w:fldChar w:fldCharType="begin"/>
        </w:r>
        <w:r w:rsidR="00830FB9">
          <w:rPr>
            <w:noProof/>
            <w:webHidden/>
          </w:rPr>
          <w:instrText xml:space="preserve"> PAGEREF _Toc512241317 \h </w:instrText>
        </w:r>
        <w:r w:rsidR="00830FB9">
          <w:rPr>
            <w:noProof/>
            <w:webHidden/>
          </w:rPr>
        </w:r>
        <w:r w:rsidR="00830FB9">
          <w:rPr>
            <w:noProof/>
            <w:webHidden/>
          </w:rPr>
          <w:fldChar w:fldCharType="separate"/>
        </w:r>
        <w:r w:rsidR="00830FB9">
          <w:rPr>
            <w:noProof/>
            <w:webHidden/>
          </w:rPr>
          <w:t>18</w:t>
        </w:r>
        <w:r w:rsidR="00830FB9">
          <w:rPr>
            <w:noProof/>
            <w:webHidden/>
          </w:rPr>
          <w:fldChar w:fldCharType="end"/>
        </w:r>
      </w:hyperlink>
    </w:p>
    <w:p w14:paraId="197A402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8" w:history="1">
        <w:r w:rsidR="00830FB9" w:rsidRPr="00AF27DC">
          <w:rPr>
            <w:rStyle w:val="Hyperlink"/>
            <w:noProof/>
          </w:rPr>
          <w:t>cc) Kommunikation auf der Textebene</w:t>
        </w:r>
        <w:r w:rsidR="00830FB9">
          <w:rPr>
            <w:noProof/>
            <w:webHidden/>
          </w:rPr>
          <w:tab/>
        </w:r>
        <w:r w:rsidR="00830FB9">
          <w:rPr>
            <w:noProof/>
            <w:webHidden/>
          </w:rPr>
          <w:fldChar w:fldCharType="begin"/>
        </w:r>
        <w:r w:rsidR="00830FB9">
          <w:rPr>
            <w:noProof/>
            <w:webHidden/>
          </w:rPr>
          <w:instrText xml:space="preserve"> PAGEREF _Toc512241318 \h </w:instrText>
        </w:r>
        <w:r w:rsidR="00830FB9">
          <w:rPr>
            <w:noProof/>
            <w:webHidden/>
          </w:rPr>
        </w:r>
        <w:r w:rsidR="00830FB9">
          <w:rPr>
            <w:noProof/>
            <w:webHidden/>
          </w:rPr>
          <w:fldChar w:fldCharType="separate"/>
        </w:r>
        <w:r w:rsidR="00830FB9">
          <w:rPr>
            <w:noProof/>
            <w:webHidden/>
          </w:rPr>
          <w:t>19</w:t>
        </w:r>
        <w:r w:rsidR="00830FB9">
          <w:rPr>
            <w:noProof/>
            <w:webHidden/>
          </w:rPr>
          <w:fldChar w:fldCharType="end"/>
        </w:r>
      </w:hyperlink>
    </w:p>
    <w:p w14:paraId="01FBEDF7"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19" w:history="1">
        <w:r w:rsidR="00830FB9" w:rsidRPr="00AF27DC">
          <w:rPr>
            <w:rStyle w:val="Hyperlink"/>
            <w:noProof/>
          </w:rPr>
          <w:t>dd) Kommunikation auf der Inhaltsebene</w:t>
        </w:r>
        <w:r w:rsidR="00830FB9">
          <w:rPr>
            <w:noProof/>
            <w:webHidden/>
          </w:rPr>
          <w:tab/>
        </w:r>
        <w:r w:rsidR="00830FB9">
          <w:rPr>
            <w:noProof/>
            <w:webHidden/>
          </w:rPr>
          <w:fldChar w:fldCharType="begin"/>
        </w:r>
        <w:r w:rsidR="00830FB9">
          <w:rPr>
            <w:noProof/>
            <w:webHidden/>
          </w:rPr>
          <w:instrText xml:space="preserve"> PAGEREF _Toc512241319 \h </w:instrText>
        </w:r>
        <w:r w:rsidR="00830FB9">
          <w:rPr>
            <w:noProof/>
            <w:webHidden/>
          </w:rPr>
        </w:r>
        <w:r w:rsidR="00830FB9">
          <w:rPr>
            <w:noProof/>
            <w:webHidden/>
          </w:rPr>
          <w:fldChar w:fldCharType="separate"/>
        </w:r>
        <w:r w:rsidR="00830FB9">
          <w:rPr>
            <w:noProof/>
            <w:webHidden/>
          </w:rPr>
          <w:t>19</w:t>
        </w:r>
        <w:r w:rsidR="00830FB9">
          <w:rPr>
            <w:noProof/>
            <w:webHidden/>
          </w:rPr>
          <w:fldChar w:fldCharType="end"/>
        </w:r>
      </w:hyperlink>
    </w:p>
    <w:p w14:paraId="38E4CF62" w14:textId="77777777" w:rsidR="00830FB9" w:rsidRDefault="002874B2">
      <w:pPr>
        <w:pStyle w:val="Verzeichnis6"/>
        <w:rPr>
          <w:rFonts w:asciiTheme="minorHAnsi" w:eastAsiaTheme="minorEastAsia" w:hAnsiTheme="minorHAnsi" w:cstheme="minorBidi"/>
          <w:noProof/>
          <w:kern w:val="0"/>
          <w:sz w:val="22"/>
          <w:szCs w:val="22"/>
        </w:rPr>
      </w:pPr>
      <w:hyperlink w:anchor="_Toc512241320" w:history="1">
        <w:r w:rsidR="00830FB9" w:rsidRPr="00AF27DC">
          <w:rPr>
            <w:rStyle w:val="Hyperlink"/>
            <w:noProof/>
          </w:rPr>
          <w:t>c) Verwendung in der Datenschutzkommunikation</w:t>
        </w:r>
        <w:r w:rsidR="00830FB9">
          <w:rPr>
            <w:noProof/>
            <w:webHidden/>
          </w:rPr>
          <w:tab/>
        </w:r>
        <w:r w:rsidR="00830FB9">
          <w:rPr>
            <w:noProof/>
            <w:webHidden/>
          </w:rPr>
          <w:fldChar w:fldCharType="begin"/>
        </w:r>
        <w:r w:rsidR="00830FB9">
          <w:rPr>
            <w:noProof/>
            <w:webHidden/>
          </w:rPr>
          <w:instrText xml:space="preserve"> PAGEREF _Toc512241320 \h </w:instrText>
        </w:r>
        <w:r w:rsidR="00830FB9">
          <w:rPr>
            <w:noProof/>
            <w:webHidden/>
          </w:rPr>
        </w:r>
        <w:r w:rsidR="00830FB9">
          <w:rPr>
            <w:noProof/>
            <w:webHidden/>
          </w:rPr>
          <w:fldChar w:fldCharType="separate"/>
        </w:r>
        <w:r w:rsidR="00830FB9">
          <w:rPr>
            <w:noProof/>
            <w:webHidden/>
          </w:rPr>
          <w:t>20</w:t>
        </w:r>
        <w:r w:rsidR="00830FB9">
          <w:rPr>
            <w:noProof/>
            <w:webHidden/>
          </w:rPr>
          <w:fldChar w:fldCharType="end"/>
        </w:r>
      </w:hyperlink>
    </w:p>
    <w:p w14:paraId="3CF4B45A" w14:textId="77777777" w:rsidR="00830FB9" w:rsidRDefault="002874B2">
      <w:pPr>
        <w:pStyle w:val="Verzeichnis4"/>
        <w:rPr>
          <w:rFonts w:asciiTheme="minorHAnsi" w:eastAsiaTheme="minorEastAsia" w:hAnsiTheme="minorHAnsi" w:cstheme="minorBidi"/>
          <w:noProof/>
          <w:kern w:val="0"/>
          <w:sz w:val="22"/>
          <w:szCs w:val="22"/>
        </w:rPr>
      </w:pPr>
      <w:hyperlink w:anchor="_Toc512241321" w:history="1">
        <w:r w:rsidR="00830FB9" w:rsidRPr="00AF27DC">
          <w:rPr>
            <w:rStyle w:val="Hyperlink"/>
            <w:noProof/>
          </w:rPr>
          <w:t>III.</w:t>
        </w:r>
        <w:r w:rsidR="00830FB9">
          <w:rPr>
            <w:rFonts w:asciiTheme="minorHAnsi" w:eastAsiaTheme="minorEastAsia" w:hAnsiTheme="minorHAnsi" w:cstheme="minorBidi"/>
            <w:noProof/>
            <w:kern w:val="0"/>
            <w:sz w:val="22"/>
            <w:szCs w:val="22"/>
          </w:rPr>
          <w:tab/>
        </w:r>
        <w:r w:rsidR="00830FB9" w:rsidRPr="00AF27DC">
          <w:rPr>
            <w:rStyle w:val="Hyperlink"/>
            <w:noProof/>
          </w:rPr>
          <w:t>Spezifische Kommunikationsanlässe</w:t>
        </w:r>
        <w:r w:rsidR="00830FB9">
          <w:rPr>
            <w:noProof/>
            <w:webHidden/>
          </w:rPr>
          <w:tab/>
        </w:r>
        <w:r w:rsidR="00830FB9">
          <w:rPr>
            <w:noProof/>
            <w:webHidden/>
          </w:rPr>
          <w:fldChar w:fldCharType="begin"/>
        </w:r>
        <w:r w:rsidR="00830FB9">
          <w:rPr>
            <w:noProof/>
            <w:webHidden/>
          </w:rPr>
          <w:instrText xml:space="preserve"> PAGEREF _Toc512241321 \h </w:instrText>
        </w:r>
        <w:r w:rsidR="00830FB9">
          <w:rPr>
            <w:noProof/>
            <w:webHidden/>
          </w:rPr>
        </w:r>
        <w:r w:rsidR="00830FB9">
          <w:rPr>
            <w:noProof/>
            <w:webHidden/>
          </w:rPr>
          <w:fldChar w:fldCharType="separate"/>
        </w:r>
        <w:r w:rsidR="00830FB9">
          <w:rPr>
            <w:noProof/>
            <w:webHidden/>
          </w:rPr>
          <w:t>20</w:t>
        </w:r>
        <w:r w:rsidR="00830FB9">
          <w:rPr>
            <w:noProof/>
            <w:webHidden/>
          </w:rPr>
          <w:fldChar w:fldCharType="end"/>
        </w:r>
      </w:hyperlink>
    </w:p>
    <w:p w14:paraId="12B7B1B2"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22" w:history="1">
        <w:r w:rsidR="00830FB9" w:rsidRPr="00AF27DC">
          <w:rPr>
            <w:rStyle w:val="Hyperlink"/>
            <w:noProof/>
          </w:rPr>
          <w:t>1. Gesetzliche Informierungspflichten des Verantwortlichen gegenüber dem Betroffenen</w:t>
        </w:r>
        <w:r w:rsidR="00830FB9">
          <w:rPr>
            <w:noProof/>
            <w:webHidden/>
          </w:rPr>
          <w:tab/>
        </w:r>
        <w:r w:rsidR="00830FB9">
          <w:rPr>
            <w:noProof/>
            <w:webHidden/>
          </w:rPr>
          <w:fldChar w:fldCharType="begin"/>
        </w:r>
        <w:r w:rsidR="00830FB9">
          <w:rPr>
            <w:noProof/>
            <w:webHidden/>
          </w:rPr>
          <w:instrText xml:space="preserve"> PAGEREF _Toc512241322 \h </w:instrText>
        </w:r>
        <w:r w:rsidR="00830FB9">
          <w:rPr>
            <w:noProof/>
            <w:webHidden/>
          </w:rPr>
        </w:r>
        <w:r w:rsidR="00830FB9">
          <w:rPr>
            <w:noProof/>
            <w:webHidden/>
          </w:rPr>
          <w:fldChar w:fldCharType="separate"/>
        </w:r>
        <w:r w:rsidR="00830FB9">
          <w:rPr>
            <w:noProof/>
            <w:webHidden/>
          </w:rPr>
          <w:t>21</w:t>
        </w:r>
        <w:r w:rsidR="00830FB9">
          <w:rPr>
            <w:noProof/>
            <w:webHidden/>
          </w:rPr>
          <w:fldChar w:fldCharType="end"/>
        </w:r>
      </w:hyperlink>
    </w:p>
    <w:p w14:paraId="2C28BAB4" w14:textId="77777777" w:rsidR="00830FB9" w:rsidRDefault="002874B2">
      <w:pPr>
        <w:pStyle w:val="Verzeichnis6"/>
        <w:rPr>
          <w:rFonts w:asciiTheme="minorHAnsi" w:eastAsiaTheme="minorEastAsia" w:hAnsiTheme="minorHAnsi" w:cstheme="minorBidi"/>
          <w:noProof/>
          <w:kern w:val="0"/>
          <w:sz w:val="22"/>
          <w:szCs w:val="22"/>
        </w:rPr>
      </w:pPr>
      <w:hyperlink w:anchor="_Toc512241323" w:history="1">
        <w:r w:rsidR="00830FB9" w:rsidRPr="00AF27DC">
          <w:rPr>
            <w:rStyle w:val="Hyperlink"/>
            <w:noProof/>
          </w:rPr>
          <w:t>a) Information für Einwilligung</w:t>
        </w:r>
        <w:r w:rsidR="00830FB9">
          <w:rPr>
            <w:noProof/>
            <w:webHidden/>
          </w:rPr>
          <w:tab/>
        </w:r>
        <w:r w:rsidR="00830FB9">
          <w:rPr>
            <w:noProof/>
            <w:webHidden/>
          </w:rPr>
          <w:fldChar w:fldCharType="begin"/>
        </w:r>
        <w:r w:rsidR="00830FB9">
          <w:rPr>
            <w:noProof/>
            <w:webHidden/>
          </w:rPr>
          <w:instrText xml:space="preserve"> PAGEREF _Toc512241323 \h </w:instrText>
        </w:r>
        <w:r w:rsidR="00830FB9">
          <w:rPr>
            <w:noProof/>
            <w:webHidden/>
          </w:rPr>
        </w:r>
        <w:r w:rsidR="00830FB9">
          <w:rPr>
            <w:noProof/>
            <w:webHidden/>
          </w:rPr>
          <w:fldChar w:fldCharType="separate"/>
        </w:r>
        <w:r w:rsidR="00830FB9">
          <w:rPr>
            <w:noProof/>
            <w:webHidden/>
          </w:rPr>
          <w:t>21</w:t>
        </w:r>
        <w:r w:rsidR="00830FB9">
          <w:rPr>
            <w:noProof/>
            <w:webHidden/>
          </w:rPr>
          <w:fldChar w:fldCharType="end"/>
        </w:r>
      </w:hyperlink>
    </w:p>
    <w:p w14:paraId="318F585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24" w:history="1">
        <w:r w:rsidR="00830FB9" w:rsidRPr="00AF27DC">
          <w:rPr>
            <w:rStyle w:val="Hyperlink"/>
            <w:noProof/>
          </w:rPr>
          <w:t>aa) Verfahren und Form der Einwilligung</w:t>
        </w:r>
        <w:r w:rsidR="00830FB9">
          <w:rPr>
            <w:noProof/>
            <w:webHidden/>
          </w:rPr>
          <w:tab/>
        </w:r>
        <w:r w:rsidR="00830FB9">
          <w:rPr>
            <w:noProof/>
            <w:webHidden/>
          </w:rPr>
          <w:fldChar w:fldCharType="begin"/>
        </w:r>
        <w:r w:rsidR="00830FB9">
          <w:rPr>
            <w:noProof/>
            <w:webHidden/>
          </w:rPr>
          <w:instrText xml:space="preserve"> PAGEREF _Toc512241324 \h </w:instrText>
        </w:r>
        <w:r w:rsidR="00830FB9">
          <w:rPr>
            <w:noProof/>
            <w:webHidden/>
          </w:rPr>
        </w:r>
        <w:r w:rsidR="00830FB9">
          <w:rPr>
            <w:noProof/>
            <w:webHidden/>
          </w:rPr>
          <w:fldChar w:fldCharType="separate"/>
        </w:r>
        <w:r w:rsidR="00830FB9">
          <w:rPr>
            <w:noProof/>
            <w:webHidden/>
          </w:rPr>
          <w:t>21</w:t>
        </w:r>
        <w:r w:rsidR="00830FB9">
          <w:rPr>
            <w:noProof/>
            <w:webHidden/>
          </w:rPr>
          <w:fldChar w:fldCharType="end"/>
        </w:r>
      </w:hyperlink>
    </w:p>
    <w:p w14:paraId="633CF059"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25" w:history="1">
        <w:r w:rsidR="00830FB9" w:rsidRPr="00AF27DC">
          <w:rPr>
            <w:rStyle w:val="Hyperlink"/>
            <w:noProof/>
          </w:rPr>
          <w:t>bb) Informiertheit als inhaltliche Anforderung</w:t>
        </w:r>
        <w:r w:rsidR="00830FB9">
          <w:rPr>
            <w:noProof/>
            <w:webHidden/>
          </w:rPr>
          <w:tab/>
        </w:r>
        <w:r w:rsidR="00830FB9">
          <w:rPr>
            <w:noProof/>
            <w:webHidden/>
          </w:rPr>
          <w:fldChar w:fldCharType="begin"/>
        </w:r>
        <w:r w:rsidR="00830FB9">
          <w:rPr>
            <w:noProof/>
            <w:webHidden/>
          </w:rPr>
          <w:instrText xml:space="preserve"> PAGEREF _Toc512241325 \h </w:instrText>
        </w:r>
        <w:r w:rsidR="00830FB9">
          <w:rPr>
            <w:noProof/>
            <w:webHidden/>
          </w:rPr>
        </w:r>
        <w:r w:rsidR="00830FB9">
          <w:rPr>
            <w:noProof/>
            <w:webHidden/>
          </w:rPr>
          <w:fldChar w:fldCharType="separate"/>
        </w:r>
        <w:r w:rsidR="00830FB9">
          <w:rPr>
            <w:noProof/>
            <w:webHidden/>
          </w:rPr>
          <w:t>22</w:t>
        </w:r>
        <w:r w:rsidR="00830FB9">
          <w:rPr>
            <w:noProof/>
            <w:webHidden/>
          </w:rPr>
          <w:fldChar w:fldCharType="end"/>
        </w:r>
      </w:hyperlink>
    </w:p>
    <w:p w14:paraId="33DD7201"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26" w:history="1">
        <w:r w:rsidR="00830FB9" w:rsidRPr="00AF27DC">
          <w:rPr>
            <w:rStyle w:val="Hyperlink"/>
            <w:noProof/>
          </w:rPr>
          <w:t>cc) Besonderheiten bei der Einwilligung von Kindern</w:t>
        </w:r>
        <w:r w:rsidR="00830FB9">
          <w:rPr>
            <w:noProof/>
            <w:webHidden/>
          </w:rPr>
          <w:tab/>
        </w:r>
        <w:r w:rsidR="00830FB9">
          <w:rPr>
            <w:noProof/>
            <w:webHidden/>
          </w:rPr>
          <w:fldChar w:fldCharType="begin"/>
        </w:r>
        <w:r w:rsidR="00830FB9">
          <w:rPr>
            <w:noProof/>
            <w:webHidden/>
          </w:rPr>
          <w:instrText xml:space="preserve"> PAGEREF _Toc512241326 \h </w:instrText>
        </w:r>
        <w:r w:rsidR="00830FB9">
          <w:rPr>
            <w:noProof/>
            <w:webHidden/>
          </w:rPr>
        </w:r>
        <w:r w:rsidR="00830FB9">
          <w:rPr>
            <w:noProof/>
            <w:webHidden/>
          </w:rPr>
          <w:fldChar w:fldCharType="separate"/>
        </w:r>
        <w:r w:rsidR="00830FB9">
          <w:rPr>
            <w:noProof/>
            <w:webHidden/>
          </w:rPr>
          <w:t>22</w:t>
        </w:r>
        <w:r w:rsidR="00830FB9">
          <w:rPr>
            <w:noProof/>
            <w:webHidden/>
          </w:rPr>
          <w:fldChar w:fldCharType="end"/>
        </w:r>
      </w:hyperlink>
    </w:p>
    <w:p w14:paraId="516B6AE0" w14:textId="77777777" w:rsidR="00830FB9" w:rsidRDefault="002874B2">
      <w:pPr>
        <w:pStyle w:val="Verzeichnis6"/>
        <w:rPr>
          <w:rFonts w:asciiTheme="minorHAnsi" w:eastAsiaTheme="minorEastAsia" w:hAnsiTheme="minorHAnsi" w:cstheme="minorBidi"/>
          <w:noProof/>
          <w:kern w:val="0"/>
          <w:sz w:val="22"/>
          <w:szCs w:val="22"/>
        </w:rPr>
      </w:pPr>
      <w:hyperlink w:anchor="_Toc512241327" w:history="1">
        <w:r w:rsidR="00830FB9" w:rsidRPr="00AF27DC">
          <w:rPr>
            <w:rStyle w:val="Hyperlink"/>
            <w:noProof/>
          </w:rPr>
          <w:t>b) Unterrichtung bei der Erhebung</w:t>
        </w:r>
        <w:r w:rsidR="00830FB9">
          <w:rPr>
            <w:noProof/>
            <w:webHidden/>
          </w:rPr>
          <w:tab/>
        </w:r>
        <w:r w:rsidR="00830FB9">
          <w:rPr>
            <w:noProof/>
            <w:webHidden/>
          </w:rPr>
          <w:fldChar w:fldCharType="begin"/>
        </w:r>
        <w:r w:rsidR="00830FB9">
          <w:rPr>
            <w:noProof/>
            <w:webHidden/>
          </w:rPr>
          <w:instrText xml:space="preserve"> PAGEREF _Toc512241327 \h </w:instrText>
        </w:r>
        <w:r w:rsidR="00830FB9">
          <w:rPr>
            <w:noProof/>
            <w:webHidden/>
          </w:rPr>
        </w:r>
        <w:r w:rsidR="00830FB9">
          <w:rPr>
            <w:noProof/>
            <w:webHidden/>
          </w:rPr>
          <w:fldChar w:fldCharType="separate"/>
        </w:r>
        <w:r w:rsidR="00830FB9">
          <w:rPr>
            <w:noProof/>
            <w:webHidden/>
          </w:rPr>
          <w:t>23</w:t>
        </w:r>
        <w:r w:rsidR="00830FB9">
          <w:rPr>
            <w:noProof/>
            <w:webHidden/>
          </w:rPr>
          <w:fldChar w:fldCharType="end"/>
        </w:r>
      </w:hyperlink>
    </w:p>
    <w:p w14:paraId="20EFFD67"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28" w:history="1">
        <w:r w:rsidR="00830FB9" w:rsidRPr="00AF27DC">
          <w:rPr>
            <w:rStyle w:val="Hyperlink"/>
            <w:noProof/>
          </w:rPr>
          <w:t>aa) Verfahren und Form</w:t>
        </w:r>
        <w:r w:rsidR="00830FB9">
          <w:rPr>
            <w:noProof/>
            <w:webHidden/>
          </w:rPr>
          <w:tab/>
        </w:r>
        <w:r w:rsidR="00830FB9">
          <w:rPr>
            <w:noProof/>
            <w:webHidden/>
          </w:rPr>
          <w:fldChar w:fldCharType="begin"/>
        </w:r>
        <w:r w:rsidR="00830FB9">
          <w:rPr>
            <w:noProof/>
            <w:webHidden/>
          </w:rPr>
          <w:instrText xml:space="preserve"> PAGEREF _Toc512241328 \h </w:instrText>
        </w:r>
        <w:r w:rsidR="00830FB9">
          <w:rPr>
            <w:noProof/>
            <w:webHidden/>
          </w:rPr>
        </w:r>
        <w:r w:rsidR="00830FB9">
          <w:rPr>
            <w:noProof/>
            <w:webHidden/>
          </w:rPr>
          <w:fldChar w:fldCharType="separate"/>
        </w:r>
        <w:r w:rsidR="00830FB9">
          <w:rPr>
            <w:noProof/>
            <w:webHidden/>
          </w:rPr>
          <w:t>23</w:t>
        </w:r>
        <w:r w:rsidR="00830FB9">
          <w:rPr>
            <w:noProof/>
            <w:webHidden/>
          </w:rPr>
          <w:fldChar w:fldCharType="end"/>
        </w:r>
      </w:hyperlink>
    </w:p>
    <w:p w14:paraId="31D90CB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29"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_Toc512241329 \h </w:instrText>
        </w:r>
        <w:r w:rsidR="00830FB9">
          <w:rPr>
            <w:noProof/>
            <w:webHidden/>
          </w:rPr>
        </w:r>
        <w:r w:rsidR="00830FB9">
          <w:rPr>
            <w:noProof/>
            <w:webHidden/>
          </w:rPr>
          <w:fldChar w:fldCharType="separate"/>
        </w:r>
        <w:r w:rsidR="00830FB9">
          <w:rPr>
            <w:noProof/>
            <w:webHidden/>
          </w:rPr>
          <w:t>23</w:t>
        </w:r>
        <w:r w:rsidR="00830FB9">
          <w:rPr>
            <w:noProof/>
            <w:webHidden/>
          </w:rPr>
          <w:fldChar w:fldCharType="end"/>
        </w:r>
      </w:hyperlink>
    </w:p>
    <w:p w14:paraId="6EC9C070"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30" w:history="1">
        <w:r w:rsidR="00830FB9" w:rsidRPr="00AF27DC">
          <w:rPr>
            <w:rStyle w:val="Hyperlink"/>
            <w:noProof/>
          </w:rPr>
          <w:t>cc) Sonderfall: Kennzeichnungen</w:t>
        </w:r>
        <w:r w:rsidR="00830FB9">
          <w:rPr>
            <w:noProof/>
            <w:webHidden/>
          </w:rPr>
          <w:tab/>
        </w:r>
        <w:r w:rsidR="00830FB9">
          <w:rPr>
            <w:noProof/>
            <w:webHidden/>
          </w:rPr>
          <w:fldChar w:fldCharType="begin"/>
        </w:r>
        <w:r w:rsidR="00830FB9">
          <w:rPr>
            <w:noProof/>
            <w:webHidden/>
          </w:rPr>
          <w:instrText xml:space="preserve"> PAGEREF _Toc512241330 \h </w:instrText>
        </w:r>
        <w:r w:rsidR="00830FB9">
          <w:rPr>
            <w:noProof/>
            <w:webHidden/>
          </w:rPr>
        </w:r>
        <w:r w:rsidR="00830FB9">
          <w:rPr>
            <w:noProof/>
            <w:webHidden/>
          </w:rPr>
          <w:fldChar w:fldCharType="separate"/>
        </w:r>
        <w:r w:rsidR="00830FB9">
          <w:rPr>
            <w:noProof/>
            <w:webHidden/>
          </w:rPr>
          <w:t>24</w:t>
        </w:r>
        <w:r w:rsidR="00830FB9">
          <w:rPr>
            <w:noProof/>
            <w:webHidden/>
          </w:rPr>
          <w:fldChar w:fldCharType="end"/>
        </w:r>
      </w:hyperlink>
    </w:p>
    <w:p w14:paraId="4CE88179" w14:textId="77777777" w:rsidR="00830FB9" w:rsidRDefault="002874B2">
      <w:pPr>
        <w:pStyle w:val="Verzeichnis6"/>
        <w:rPr>
          <w:rFonts w:asciiTheme="minorHAnsi" w:eastAsiaTheme="minorEastAsia" w:hAnsiTheme="minorHAnsi" w:cstheme="minorBidi"/>
          <w:noProof/>
          <w:kern w:val="0"/>
          <w:sz w:val="22"/>
          <w:szCs w:val="22"/>
        </w:rPr>
      </w:pPr>
      <w:hyperlink w:anchor="_Toc512241331" w:history="1">
        <w:r w:rsidR="00830FB9" w:rsidRPr="00AF27DC">
          <w:rPr>
            <w:rStyle w:val="Hyperlink"/>
            <w:noProof/>
          </w:rPr>
          <w:t>c) Benachrichtigung</w:t>
        </w:r>
        <w:r w:rsidR="00830FB9">
          <w:rPr>
            <w:noProof/>
            <w:webHidden/>
          </w:rPr>
          <w:tab/>
        </w:r>
        <w:r w:rsidR="00830FB9">
          <w:rPr>
            <w:noProof/>
            <w:webHidden/>
          </w:rPr>
          <w:fldChar w:fldCharType="begin"/>
        </w:r>
        <w:r w:rsidR="00830FB9">
          <w:rPr>
            <w:noProof/>
            <w:webHidden/>
          </w:rPr>
          <w:instrText xml:space="preserve"> PAGEREF _Toc512241331 \h </w:instrText>
        </w:r>
        <w:r w:rsidR="00830FB9">
          <w:rPr>
            <w:noProof/>
            <w:webHidden/>
          </w:rPr>
        </w:r>
        <w:r w:rsidR="00830FB9">
          <w:rPr>
            <w:noProof/>
            <w:webHidden/>
          </w:rPr>
          <w:fldChar w:fldCharType="separate"/>
        </w:r>
        <w:r w:rsidR="00830FB9">
          <w:rPr>
            <w:noProof/>
            <w:webHidden/>
          </w:rPr>
          <w:t>25</w:t>
        </w:r>
        <w:r w:rsidR="00830FB9">
          <w:rPr>
            <w:noProof/>
            <w:webHidden/>
          </w:rPr>
          <w:fldChar w:fldCharType="end"/>
        </w:r>
      </w:hyperlink>
    </w:p>
    <w:p w14:paraId="0EBBD14E"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32" w:history="1">
        <w:r w:rsidR="00830FB9" w:rsidRPr="00AF27DC">
          <w:rPr>
            <w:rStyle w:val="Hyperlink"/>
            <w:noProof/>
          </w:rPr>
          <w:t>aa) Verfahren und Form</w:t>
        </w:r>
        <w:r w:rsidR="00830FB9">
          <w:rPr>
            <w:noProof/>
            <w:webHidden/>
          </w:rPr>
          <w:tab/>
        </w:r>
        <w:r w:rsidR="00830FB9">
          <w:rPr>
            <w:noProof/>
            <w:webHidden/>
          </w:rPr>
          <w:fldChar w:fldCharType="begin"/>
        </w:r>
        <w:r w:rsidR="00830FB9">
          <w:rPr>
            <w:noProof/>
            <w:webHidden/>
          </w:rPr>
          <w:instrText xml:space="preserve"> PAGEREF _Toc512241332 \h </w:instrText>
        </w:r>
        <w:r w:rsidR="00830FB9">
          <w:rPr>
            <w:noProof/>
            <w:webHidden/>
          </w:rPr>
        </w:r>
        <w:r w:rsidR="00830FB9">
          <w:rPr>
            <w:noProof/>
            <w:webHidden/>
          </w:rPr>
          <w:fldChar w:fldCharType="separate"/>
        </w:r>
        <w:r w:rsidR="00830FB9">
          <w:rPr>
            <w:noProof/>
            <w:webHidden/>
          </w:rPr>
          <w:t>25</w:t>
        </w:r>
        <w:r w:rsidR="00830FB9">
          <w:rPr>
            <w:noProof/>
            <w:webHidden/>
          </w:rPr>
          <w:fldChar w:fldCharType="end"/>
        </w:r>
      </w:hyperlink>
    </w:p>
    <w:p w14:paraId="565968B6"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33"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_Toc512241333 \h </w:instrText>
        </w:r>
        <w:r w:rsidR="00830FB9">
          <w:rPr>
            <w:noProof/>
            <w:webHidden/>
          </w:rPr>
        </w:r>
        <w:r w:rsidR="00830FB9">
          <w:rPr>
            <w:noProof/>
            <w:webHidden/>
          </w:rPr>
          <w:fldChar w:fldCharType="separate"/>
        </w:r>
        <w:r w:rsidR="00830FB9">
          <w:rPr>
            <w:noProof/>
            <w:webHidden/>
          </w:rPr>
          <w:t>25</w:t>
        </w:r>
        <w:r w:rsidR="00830FB9">
          <w:rPr>
            <w:noProof/>
            <w:webHidden/>
          </w:rPr>
          <w:fldChar w:fldCharType="end"/>
        </w:r>
      </w:hyperlink>
    </w:p>
    <w:p w14:paraId="3F1303FB" w14:textId="77777777" w:rsidR="00830FB9" w:rsidRDefault="002874B2">
      <w:pPr>
        <w:pStyle w:val="Verzeichnis6"/>
        <w:rPr>
          <w:rFonts w:asciiTheme="minorHAnsi" w:eastAsiaTheme="minorEastAsia" w:hAnsiTheme="minorHAnsi" w:cstheme="minorBidi"/>
          <w:noProof/>
          <w:kern w:val="0"/>
          <w:sz w:val="22"/>
          <w:szCs w:val="22"/>
        </w:rPr>
      </w:pPr>
      <w:hyperlink w:anchor="_Toc512241334" w:history="1">
        <w:r w:rsidR="00830FB9" w:rsidRPr="00AF27DC">
          <w:rPr>
            <w:rStyle w:val="Hyperlink"/>
            <w:noProof/>
          </w:rPr>
          <w:t>d) Auskunft</w:t>
        </w:r>
        <w:r w:rsidR="00830FB9">
          <w:rPr>
            <w:noProof/>
            <w:webHidden/>
          </w:rPr>
          <w:tab/>
        </w:r>
        <w:r w:rsidR="00830FB9">
          <w:rPr>
            <w:noProof/>
            <w:webHidden/>
          </w:rPr>
          <w:fldChar w:fldCharType="begin"/>
        </w:r>
        <w:r w:rsidR="00830FB9">
          <w:rPr>
            <w:noProof/>
            <w:webHidden/>
          </w:rPr>
          <w:instrText xml:space="preserve"> PAGEREF _Toc512241334 \h </w:instrText>
        </w:r>
        <w:r w:rsidR="00830FB9">
          <w:rPr>
            <w:noProof/>
            <w:webHidden/>
          </w:rPr>
        </w:r>
        <w:r w:rsidR="00830FB9">
          <w:rPr>
            <w:noProof/>
            <w:webHidden/>
          </w:rPr>
          <w:fldChar w:fldCharType="separate"/>
        </w:r>
        <w:r w:rsidR="00830FB9">
          <w:rPr>
            <w:noProof/>
            <w:webHidden/>
          </w:rPr>
          <w:t>26</w:t>
        </w:r>
        <w:r w:rsidR="00830FB9">
          <w:rPr>
            <w:noProof/>
            <w:webHidden/>
          </w:rPr>
          <w:fldChar w:fldCharType="end"/>
        </w:r>
      </w:hyperlink>
    </w:p>
    <w:p w14:paraId="578C834F"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35" w:history="1">
        <w:r w:rsidR="00830FB9" w:rsidRPr="00AF27DC">
          <w:rPr>
            <w:rStyle w:val="Hyperlink"/>
            <w:noProof/>
          </w:rPr>
          <w:t>aa) Verfahren und Form</w:t>
        </w:r>
        <w:r w:rsidR="00830FB9">
          <w:rPr>
            <w:noProof/>
            <w:webHidden/>
          </w:rPr>
          <w:tab/>
        </w:r>
        <w:r w:rsidR="00830FB9">
          <w:rPr>
            <w:noProof/>
            <w:webHidden/>
          </w:rPr>
          <w:fldChar w:fldCharType="begin"/>
        </w:r>
        <w:r w:rsidR="00830FB9">
          <w:rPr>
            <w:noProof/>
            <w:webHidden/>
          </w:rPr>
          <w:instrText xml:space="preserve"> PAGEREF _Toc512241335 \h </w:instrText>
        </w:r>
        <w:r w:rsidR="00830FB9">
          <w:rPr>
            <w:noProof/>
            <w:webHidden/>
          </w:rPr>
        </w:r>
        <w:r w:rsidR="00830FB9">
          <w:rPr>
            <w:noProof/>
            <w:webHidden/>
          </w:rPr>
          <w:fldChar w:fldCharType="separate"/>
        </w:r>
        <w:r w:rsidR="00830FB9">
          <w:rPr>
            <w:noProof/>
            <w:webHidden/>
          </w:rPr>
          <w:t>26</w:t>
        </w:r>
        <w:r w:rsidR="00830FB9">
          <w:rPr>
            <w:noProof/>
            <w:webHidden/>
          </w:rPr>
          <w:fldChar w:fldCharType="end"/>
        </w:r>
      </w:hyperlink>
    </w:p>
    <w:p w14:paraId="4496405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36" w:history="1">
        <w:r w:rsidR="00830FB9" w:rsidRPr="00AF27DC">
          <w:rPr>
            <w:rStyle w:val="Hyperlink"/>
            <w:noProof/>
          </w:rPr>
          <w:t>bb) Inhaltliche Anforderungen</w:t>
        </w:r>
        <w:r w:rsidR="00830FB9">
          <w:rPr>
            <w:noProof/>
            <w:webHidden/>
          </w:rPr>
          <w:tab/>
        </w:r>
        <w:r w:rsidR="00830FB9">
          <w:rPr>
            <w:noProof/>
            <w:webHidden/>
          </w:rPr>
          <w:fldChar w:fldCharType="begin"/>
        </w:r>
        <w:r w:rsidR="00830FB9">
          <w:rPr>
            <w:noProof/>
            <w:webHidden/>
          </w:rPr>
          <w:instrText xml:space="preserve"> PAGEREF _Toc512241336 \h </w:instrText>
        </w:r>
        <w:r w:rsidR="00830FB9">
          <w:rPr>
            <w:noProof/>
            <w:webHidden/>
          </w:rPr>
        </w:r>
        <w:r w:rsidR="00830FB9">
          <w:rPr>
            <w:noProof/>
            <w:webHidden/>
          </w:rPr>
          <w:fldChar w:fldCharType="separate"/>
        </w:r>
        <w:r w:rsidR="00830FB9">
          <w:rPr>
            <w:noProof/>
            <w:webHidden/>
          </w:rPr>
          <w:t>27</w:t>
        </w:r>
        <w:r w:rsidR="00830FB9">
          <w:rPr>
            <w:noProof/>
            <w:webHidden/>
          </w:rPr>
          <w:fldChar w:fldCharType="end"/>
        </w:r>
      </w:hyperlink>
    </w:p>
    <w:p w14:paraId="532F5738"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37" w:history="1">
        <w:r w:rsidR="00830FB9" w:rsidRPr="00AF27DC">
          <w:rPr>
            <w:rStyle w:val="Hyperlink"/>
            <w:noProof/>
          </w:rPr>
          <w:t>2. Proaktive Kommunikation mit Datenschutzaufsichtsbehörden</w:t>
        </w:r>
        <w:r w:rsidR="00830FB9">
          <w:rPr>
            <w:noProof/>
            <w:webHidden/>
          </w:rPr>
          <w:tab/>
        </w:r>
        <w:r w:rsidR="00830FB9">
          <w:rPr>
            <w:noProof/>
            <w:webHidden/>
          </w:rPr>
          <w:fldChar w:fldCharType="begin"/>
        </w:r>
        <w:r w:rsidR="00830FB9">
          <w:rPr>
            <w:noProof/>
            <w:webHidden/>
          </w:rPr>
          <w:instrText xml:space="preserve"> PAGEREF _Toc512241337 \h </w:instrText>
        </w:r>
        <w:r w:rsidR="00830FB9">
          <w:rPr>
            <w:noProof/>
            <w:webHidden/>
          </w:rPr>
        </w:r>
        <w:r w:rsidR="00830FB9">
          <w:rPr>
            <w:noProof/>
            <w:webHidden/>
          </w:rPr>
          <w:fldChar w:fldCharType="separate"/>
        </w:r>
        <w:r w:rsidR="00830FB9">
          <w:rPr>
            <w:noProof/>
            <w:webHidden/>
          </w:rPr>
          <w:t>27</w:t>
        </w:r>
        <w:r w:rsidR="00830FB9">
          <w:rPr>
            <w:noProof/>
            <w:webHidden/>
          </w:rPr>
          <w:fldChar w:fldCharType="end"/>
        </w:r>
      </w:hyperlink>
    </w:p>
    <w:p w14:paraId="5A31E4B8" w14:textId="77777777" w:rsidR="00830FB9" w:rsidRDefault="002874B2">
      <w:pPr>
        <w:pStyle w:val="Verzeichnis6"/>
        <w:rPr>
          <w:rFonts w:asciiTheme="minorHAnsi" w:eastAsiaTheme="minorEastAsia" w:hAnsiTheme="minorHAnsi" w:cstheme="minorBidi"/>
          <w:noProof/>
          <w:kern w:val="0"/>
          <w:sz w:val="22"/>
          <w:szCs w:val="22"/>
        </w:rPr>
      </w:pPr>
      <w:hyperlink w:anchor="_Toc512241338" w:history="1">
        <w:r w:rsidR="00830FB9" w:rsidRPr="00AF27DC">
          <w:rPr>
            <w:rStyle w:val="Hyperlink"/>
            <w:noProof/>
          </w:rPr>
          <w:t>a) Kein vorgeschriebenes Verfahren</w:t>
        </w:r>
        <w:r w:rsidR="00830FB9">
          <w:rPr>
            <w:noProof/>
            <w:webHidden/>
          </w:rPr>
          <w:tab/>
        </w:r>
        <w:r w:rsidR="00830FB9">
          <w:rPr>
            <w:noProof/>
            <w:webHidden/>
          </w:rPr>
          <w:fldChar w:fldCharType="begin"/>
        </w:r>
        <w:r w:rsidR="00830FB9">
          <w:rPr>
            <w:noProof/>
            <w:webHidden/>
          </w:rPr>
          <w:instrText xml:space="preserve"> PAGEREF _Toc512241338 \h </w:instrText>
        </w:r>
        <w:r w:rsidR="00830FB9">
          <w:rPr>
            <w:noProof/>
            <w:webHidden/>
          </w:rPr>
        </w:r>
        <w:r w:rsidR="00830FB9">
          <w:rPr>
            <w:noProof/>
            <w:webHidden/>
          </w:rPr>
          <w:fldChar w:fldCharType="separate"/>
        </w:r>
        <w:r w:rsidR="00830FB9">
          <w:rPr>
            <w:noProof/>
            <w:webHidden/>
          </w:rPr>
          <w:t>27</w:t>
        </w:r>
        <w:r w:rsidR="00830FB9">
          <w:rPr>
            <w:noProof/>
            <w:webHidden/>
          </w:rPr>
          <w:fldChar w:fldCharType="end"/>
        </w:r>
      </w:hyperlink>
    </w:p>
    <w:p w14:paraId="47205DD4" w14:textId="77777777" w:rsidR="00830FB9" w:rsidRDefault="002874B2">
      <w:pPr>
        <w:pStyle w:val="Verzeichnis6"/>
        <w:rPr>
          <w:rFonts w:asciiTheme="minorHAnsi" w:eastAsiaTheme="minorEastAsia" w:hAnsiTheme="minorHAnsi" w:cstheme="minorBidi"/>
          <w:noProof/>
          <w:kern w:val="0"/>
          <w:sz w:val="22"/>
          <w:szCs w:val="22"/>
        </w:rPr>
      </w:pPr>
      <w:hyperlink w:anchor="_Toc512241339" w:history="1">
        <w:r w:rsidR="00830FB9" w:rsidRPr="00AF27DC">
          <w:rPr>
            <w:rStyle w:val="Hyperlink"/>
            <w:noProof/>
          </w:rPr>
          <w:t>b) Inhalt</w:t>
        </w:r>
        <w:r w:rsidR="00830FB9">
          <w:rPr>
            <w:noProof/>
            <w:webHidden/>
          </w:rPr>
          <w:tab/>
        </w:r>
        <w:r w:rsidR="00830FB9">
          <w:rPr>
            <w:noProof/>
            <w:webHidden/>
          </w:rPr>
          <w:fldChar w:fldCharType="begin"/>
        </w:r>
        <w:r w:rsidR="00830FB9">
          <w:rPr>
            <w:noProof/>
            <w:webHidden/>
          </w:rPr>
          <w:instrText xml:space="preserve"> PAGEREF _Toc512241339 \h </w:instrText>
        </w:r>
        <w:r w:rsidR="00830FB9">
          <w:rPr>
            <w:noProof/>
            <w:webHidden/>
          </w:rPr>
        </w:r>
        <w:r w:rsidR="00830FB9">
          <w:rPr>
            <w:noProof/>
            <w:webHidden/>
          </w:rPr>
          <w:fldChar w:fldCharType="separate"/>
        </w:r>
        <w:r w:rsidR="00830FB9">
          <w:rPr>
            <w:noProof/>
            <w:webHidden/>
          </w:rPr>
          <w:t>27</w:t>
        </w:r>
        <w:r w:rsidR="00830FB9">
          <w:rPr>
            <w:noProof/>
            <w:webHidden/>
          </w:rPr>
          <w:fldChar w:fldCharType="end"/>
        </w:r>
      </w:hyperlink>
    </w:p>
    <w:p w14:paraId="3FBC78F0" w14:textId="77777777" w:rsidR="00830FB9" w:rsidRDefault="002874B2">
      <w:pPr>
        <w:pStyle w:val="Verzeichnis6"/>
        <w:rPr>
          <w:rFonts w:asciiTheme="minorHAnsi" w:eastAsiaTheme="minorEastAsia" w:hAnsiTheme="minorHAnsi" w:cstheme="minorBidi"/>
          <w:noProof/>
          <w:kern w:val="0"/>
          <w:sz w:val="22"/>
          <w:szCs w:val="22"/>
        </w:rPr>
      </w:pPr>
      <w:hyperlink w:anchor="_Toc512241340" w:history="1">
        <w:r w:rsidR="00830FB9" w:rsidRPr="00AF27DC">
          <w:rPr>
            <w:rStyle w:val="Hyperlink"/>
            <w:noProof/>
          </w:rPr>
          <w:t>c) Verwendung in der Datenschutzkommunikation</w:t>
        </w:r>
        <w:r w:rsidR="00830FB9">
          <w:rPr>
            <w:noProof/>
            <w:webHidden/>
          </w:rPr>
          <w:tab/>
        </w:r>
        <w:r w:rsidR="00830FB9">
          <w:rPr>
            <w:noProof/>
            <w:webHidden/>
          </w:rPr>
          <w:fldChar w:fldCharType="begin"/>
        </w:r>
        <w:r w:rsidR="00830FB9">
          <w:rPr>
            <w:noProof/>
            <w:webHidden/>
          </w:rPr>
          <w:instrText xml:space="preserve"> PAGEREF _Toc512241340 \h </w:instrText>
        </w:r>
        <w:r w:rsidR="00830FB9">
          <w:rPr>
            <w:noProof/>
            <w:webHidden/>
          </w:rPr>
        </w:r>
        <w:r w:rsidR="00830FB9">
          <w:rPr>
            <w:noProof/>
            <w:webHidden/>
          </w:rPr>
          <w:fldChar w:fldCharType="separate"/>
        </w:r>
        <w:r w:rsidR="00830FB9">
          <w:rPr>
            <w:noProof/>
            <w:webHidden/>
          </w:rPr>
          <w:t>28</w:t>
        </w:r>
        <w:r w:rsidR="00830FB9">
          <w:rPr>
            <w:noProof/>
            <w:webHidden/>
          </w:rPr>
          <w:fldChar w:fldCharType="end"/>
        </w:r>
      </w:hyperlink>
    </w:p>
    <w:p w14:paraId="3C7870BF"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41" w:history="1">
        <w:r w:rsidR="00830FB9" w:rsidRPr="00AF27DC">
          <w:rPr>
            <w:rStyle w:val="Hyperlink"/>
            <w:noProof/>
          </w:rPr>
          <w:t>3. Kombination von rechtlicher Eindeutigkeit und Betroffenenverständlichkeit</w:t>
        </w:r>
        <w:r w:rsidR="00830FB9">
          <w:rPr>
            <w:noProof/>
            <w:webHidden/>
          </w:rPr>
          <w:tab/>
        </w:r>
        <w:r w:rsidR="00830FB9">
          <w:rPr>
            <w:noProof/>
            <w:webHidden/>
          </w:rPr>
          <w:fldChar w:fldCharType="begin"/>
        </w:r>
        <w:r w:rsidR="00830FB9">
          <w:rPr>
            <w:noProof/>
            <w:webHidden/>
          </w:rPr>
          <w:instrText xml:space="preserve"> PAGEREF _Toc512241341 \h </w:instrText>
        </w:r>
        <w:r w:rsidR="00830FB9">
          <w:rPr>
            <w:noProof/>
            <w:webHidden/>
          </w:rPr>
        </w:r>
        <w:r w:rsidR="00830FB9">
          <w:rPr>
            <w:noProof/>
            <w:webHidden/>
          </w:rPr>
          <w:fldChar w:fldCharType="separate"/>
        </w:r>
        <w:r w:rsidR="00830FB9">
          <w:rPr>
            <w:noProof/>
            <w:webHidden/>
          </w:rPr>
          <w:t>28</w:t>
        </w:r>
        <w:r w:rsidR="00830FB9">
          <w:rPr>
            <w:noProof/>
            <w:webHidden/>
          </w:rPr>
          <w:fldChar w:fldCharType="end"/>
        </w:r>
      </w:hyperlink>
    </w:p>
    <w:p w14:paraId="738A15E4" w14:textId="77777777" w:rsidR="00830FB9" w:rsidRDefault="002874B2">
      <w:pPr>
        <w:pStyle w:val="Verzeichnis6"/>
        <w:rPr>
          <w:rFonts w:asciiTheme="minorHAnsi" w:eastAsiaTheme="minorEastAsia" w:hAnsiTheme="minorHAnsi" w:cstheme="minorBidi"/>
          <w:noProof/>
          <w:kern w:val="0"/>
          <w:sz w:val="22"/>
          <w:szCs w:val="22"/>
        </w:rPr>
      </w:pPr>
      <w:hyperlink w:anchor="_Toc512241342" w:history="1">
        <w:r w:rsidR="00830FB9" w:rsidRPr="00AF27DC">
          <w:rPr>
            <w:rStyle w:val="Hyperlink"/>
            <w:noProof/>
          </w:rPr>
          <w:t>a) Rechtliche Vorgaben</w:t>
        </w:r>
        <w:r w:rsidR="00830FB9">
          <w:rPr>
            <w:noProof/>
            <w:webHidden/>
          </w:rPr>
          <w:tab/>
        </w:r>
        <w:r w:rsidR="00830FB9">
          <w:rPr>
            <w:noProof/>
            <w:webHidden/>
          </w:rPr>
          <w:fldChar w:fldCharType="begin"/>
        </w:r>
        <w:r w:rsidR="00830FB9">
          <w:rPr>
            <w:noProof/>
            <w:webHidden/>
          </w:rPr>
          <w:instrText xml:space="preserve"> PAGEREF _Toc512241342 \h </w:instrText>
        </w:r>
        <w:r w:rsidR="00830FB9">
          <w:rPr>
            <w:noProof/>
            <w:webHidden/>
          </w:rPr>
        </w:r>
        <w:r w:rsidR="00830FB9">
          <w:rPr>
            <w:noProof/>
            <w:webHidden/>
          </w:rPr>
          <w:fldChar w:fldCharType="separate"/>
        </w:r>
        <w:r w:rsidR="00830FB9">
          <w:rPr>
            <w:noProof/>
            <w:webHidden/>
          </w:rPr>
          <w:t>28</w:t>
        </w:r>
        <w:r w:rsidR="00830FB9">
          <w:rPr>
            <w:noProof/>
            <w:webHidden/>
          </w:rPr>
          <w:fldChar w:fldCharType="end"/>
        </w:r>
      </w:hyperlink>
    </w:p>
    <w:p w14:paraId="1376C91C" w14:textId="77777777" w:rsidR="00830FB9" w:rsidRDefault="002874B2">
      <w:pPr>
        <w:pStyle w:val="Verzeichnis6"/>
        <w:rPr>
          <w:rFonts w:asciiTheme="minorHAnsi" w:eastAsiaTheme="minorEastAsia" w:hAnsiTheme="minorHAnsi" w:cstheme="minorBidi"/>
          <w:noProof/>
          <w:kern w:val="0"/>
          <w:sz w:val="22"/>
          <w:szCs w:val="22"/>
        </w:rPr>
      </w:pPr>
      <w:hyperlink w:anchor="_Toc512241343" w:history="1">
        <w:r w:rsidR="00830FB9" w:rsidRPr="00AF27DC">
          <w:rPr>
            <w:rStyle w:val="Hyperlink"/>
            <w:noProof/>
          </w:rPr>
          <w:t>b) Sanktionen</w:t>
        </w:r>
        <w:r w:rsidR="00830FB9">
          <w:rPr>
            <w:noProof/>
            <w:webHidden/>
          </w:rPr>
          <w:tab/>
        </w:r>
        <w:r w:rsidR="00830FB9">
          <w:rPr>
            <w:noProof/>
            <w:webHidden/>
          </w:rPr>
          <w:fldChar w:fldCharType="begin"/>
        </w:r>
        <w:r w:rsidR="00830FB9">
          <w:rPr>
            <w:noProof/>
            <w:webHidden/>
          </w:rPr>
          <w:instrText xml:space="preserve"> PAGEREF _Toc512241343 \h </w:instrText>
        </w:r>
        <w:r w:rsidR="00830FB9">
          <w:rPr>
            <w:noProof/>
            <w:webHidden/>
          </w:rPr>
        </w:r>
        <w:r w:rsidR="00830FB9">
          <w:rPr>
            <w:noProof/>
            <w:webHidden/>
          </w:rPr>
          <w:fldChar w:fldCharType="separate"/>
        </w:r>
        <w:r w:rsidR="00830FB9">
          <w:rPr>
            <w:noProof/>
            <w:webHidden/>
          </w:rPr>
          <w:t>28</w:t>
        </w:r>
        <w:r w:rsidR="00830FB9">
          <w:rPr>
            <w:noProof/>
            <w:webHidden/>
          </w:rPr>
          <w:fldChar w:fldCharType="end"/>
        </w:r>
      </w:hyperlink>
    </w:p>
    <w:p w14:paraId="4F0E059F" w14:textId="77777777" w:rsidR="00830FB9" w:rsidRDefault="002874B2">
      <w:pPr>
        <w:pStyle w:val="Verzeichnis6"/>
        <w:rPr>
          <w:rFonts w:asciiTheme="minorHAnsi" w:eastAsiaTheme="minorEastAsia" w:hAnsiTheme="minorHAnsi" w:cstheme="minorBidi"/>
          <w:noProof/>
          <w:kern w:val="0"/>
          <w:sz w:val="22"/>
          <w:szCs w:val="22"/>
        </w:rPr>
      </w:pPr>
      <w:hyperlink w:anchor="_Toc512241344" w:history="1">
        <w:r w:rsidR="00830FB9" w:rsidRPr="00AF27DC">
          <w:rPr>
            <w:rStyle w:val="Hyperlink"/>
            <w:noProof/>
          </w:rPr>
          <w:t>c) Darstellungsvarianten für die Betroffenen-Information</w:t>
        </w:r>
        <w:r w:rsidR="00830FB9">
          <w:rPr>
            <w:noProof/>
            <w:webHidden/>
          </w:rPr>
          <w:tab/>
        </w:r>
        <w:r w:rsidR="00830FB9">
          <w:rPr>
            <w:noProof/>
            <w:webHidden/>
          </w:rPr>
          <w:fldChar w:fldCharType="begin"/>
        </w:r>
        <w:r w:rsidR="00830FB9">
          <w:rPr>
            <w:noProof/>
            <w:webHidden/>
          </w:rPr>
          <w:instrText xml:space="preserve"> PAGEREF _Toc512241344 \h </w:instrText>
        </w:r>
        <w:r w:rsidR="00830FB9">
          <w:rPr>
            <w:noProof/>
            <w:webHidden/>
          </w:rPr>
        </w:r>
        <w:r w:rsidR="00830FB9">
          <w:rPr>
            <w:noProof/>
            <w:webHidden/>
          </w:rPr>
          <w:fldChar w:fldCharType="separate"/>
        </w:r>
        <w:r w:rsidR="00830FB9">
          <w:rPr>
            <w:noProof/>
            <w:webHidden/>
          </w:rPr>
          <w:t>29</w:t>
        </w:r>
        <w:r w:rsidR="00830FB9">
          <w:rPr>
            <w:noProof/>
            <w:webHidden/>
          </w:rPr>
          <w:fldChar w:fldCharType="end"/>
        </w:r>
      </w:hyperlink>
    </w:p>
    <w:p w14:paraId="67FA856B" w14:textId="77777777" w:rsidR="00830FB9" w:rsidRDefault="002874B2">
      <w:pPr>
        <w:pStyle w:val="Verzeichnis6"/>
        <w:rPr>
          <w:rFonts w:asciiTheme="minorHAnsi" w:eastAsiaTheme="minorEastAsia" w:hAnsiTheme="minorHAnsi" w:cstheme="minorBidi"/>
          <w:noProof/>
          <w:kern w:val="0"/>
          <w:sz w:val="22"/>
          <w:szCs w:val="22"/>
        </w:rPr>
      </w:pPr>
      <w:hyperlink w:anchor="_Toc512241345" w:history="1">
        <w:r w:rsidR="00830FB9" w:rsidRPr="00AF27DC">
          <w:rPr>
            <w:rStyle w:val="Hyperlink"/>
            <w:noProof/>
          </w:rPr>
          <w:t>d) Ergänzender Einsatz von Piktogrammen</w:t>
        </w:r>
        <w:r w:rsidR="00830FB9">
          <w:rPr>
            <w:noProof/>
            <w:webHidden/>
          </w:rPr>
          <w:tab/>
        </w:r>
        <w:r w:rsidR="00830FB9">
          <w:rPr>
            <w:noProof/>
            <w:webHidden/>
          </w:rPr>
          <w:fldChar w:fldCharType="begin"/>
        </w:r>
        <w:r w:rsidR="00830FB9">
          <w:rPr>
            <w:noProof/>
            <w:webHidden/>
          </w:rPr>
          <w:instrText xml:space="preserve"> PAGEREF _Toc512241345 \h </w:instrText>
        </w:r>
        <w:r w:rsidR="00830FB9">
          <w:rPr>
            <w:noProof/>
            <w:webHidden/>
          </w:rPr>
        </w:r>
        <w:r w:rsidR="00830FB9">
          <w:rPr>
            <w:noProof/>
            <w:webHidden/>
          </w:rPr>
          <w:fldChar w:fldCharType="separate"/>
        </w:r>
        <w:r w:rsidR="00830FB9">
          <w:rPr>
            <w:noProof/>
            <w:webHidden/>
          </w:rPr>
          <w:t>32</w:t>
        </w:r>
        <w:r w:rsidR="00830FB9">
          <w:rPr>
            <w:noProof/>
            <w:webHidden/>
          </w:rPr>
          <w:fldChar w:fldCharType="end"/>
        </w:r>
      </w:hyperlink>
    </w:p>
    <w:p w14:paraId="10DD3FDA" w14:textId="77777777" w:rsidR="00830FB9" w:rsidRDefault="002874B2">
      <w:pPr>
        <w:pStyle w:val="Verzeichnis6"/>
        <w:rPr>
          <w:rFonts w:asciiTheme="minorHAnsi" w:eastAsiaTheme="minorEastAsia" w:hAnsiTheme="minorHAnsi" w:cstheme="minorBidi"/>
          <w:noProof/>
          <w:kern w:val="0"/>
          <w:sz w:val="22"/>
          <w:szCs w:val="22"/>
        </w:rPr>
      </w:pPr>
      <w:hyperlink w:anchor="_Toc512241346" w:history="1">
        <w:r w:rsidR="00830FB9" w:rsidRPr="00AF27DC">
          <w:rPr>
            <w:rStyle w:val="Hyperlink"/>
            <w:noProof/>
          </w:rPr>
          <w:t>e) Ausgestaltungsmöglichkeiten für das Auskunftsverfahren</w:t>
        </w:r>
        <w:r w:rsidR="00830FB9">
          <w:rPr>
            <w:noProof/>
            <w:webHidden/>
          </w:rPr>
          <w:tab/>
        </w:r>
        <w:r w:rsidR="00830FB9">
          <w:rPr>
            <w:noProof/>
            <w:webHidden/>
          </w:rPr>
          <w:fldChar w:fldCharType="begin"/>
        </w:r>
        <w:r w:rsidR="00830FB9">
          <w:rPr>
            <w:noProof/>
            <w:webHidden/>
          </w:rPr>
          <w:instrText xml:space="preserve"> PAGEREF _Toc512241346 \h </w:instrText>
        </w:r>
        <w:r w:rsidR="00830FB9">
          <w:rPr>
            <w:noProof/>
            <w:webHidden/>
          </w:rPr>
        </w:r>
        <w:r w:rsidR="00830FB9">
          <w:rPr>
            <w:noProof/>
            <w:webHidden/>
          </w:rPr>
          <w:fldChar w:fldCharType="separate"/>
        </w:r>
        <w:r w:rsidR="00830FB9">
          <w:rPr>
            <w:noProof/>
            <w:webHidden/>
          </w:rPr>
          <w:t>33</w:t>
        </w:r>
        <w:r w:rsidR="00830FB9">
          <w:rPr>
            <w:noProof/>
            <w:webHidden/>
          </w:rPr>
          <w:fldChar w:fldCharType="end"/>
        </w:r>
      </w:hyperlink>
    </w:p>
    <w:p w14:paraId="12E749D7" w14:textId="77777777" w:rsidR="00830FB9" w:rsidRDefault="002874B2">
      <w:pPr>
        <w:pStyle w:val="Verzeichnis4"/>
        <w:rPr>
          <w:rFonts w:asciiTheme="minorHAnsi" w:eastAsiaTheme="minorEastAsia" w:hAnsiTheme="minorHAnsi" w:cstheme="minorBidi"/>
          <w:noProof/>
          <w:kern w:val="0"/>
          <w:sz w:val="22"/>
          <w:szCs w:val="22"/>
        </w:rPr>
      </w:pPr>
      <w:hyperlink w:anchor="_Toc512241347" w:history="1">
        <w:r w:rsidR="00830FB9" w:rsidRPr="00AF27DC">
          <w:rPr>
            <w:rStyle w:val="Hyperlink"/>
            <w:noProof/>
          </w:rPr>
          <w:t>IV.</w:t>
        </w:r>
        <w:r w:rsidR="00830FB9">
          <w:rPr>
            <w:rFonts w:asciiTheme="minorHAnsi" w:eastAsiaTheme="minorEastAsia" w:hAnsiTheme="minorHAnsi" w:cstheme="minorBidi"/>
            <w:noProof/>
            <w:kern w:val="0"/>
            <w:sz w:val="22"/>
            <w:szCs w:val="22"/>
          </w:rPr>
          <w:tab/>
        </w:r>
        <w:r w:rsidR="00830FB9" w:rsidRPr="00AF27DC">
          <w:rPr>
            <w:rStyle w:val="Hyperlink"/>
            <w:noProof/>
          </w:rPr>
          <w:t>Reaktive Kommunikation</w:t>
        </w:r>
        <w:r w:rsidR="00830FB9">
          <w:rPr>
            <w:noProof/>
            <w:webHidden/>
          </w:rPr>
          <w:tab/>
        </w:r>
        <w:r w:rsidR="00830FB9">
          <w:rPr>
            <w:noProof/>
            <w:webHidden/>
          </w:rPr>
          <w:fldChar w:fldCharType="begin"/>
        </w:r>
        <w:r w:rsidR="00830FB9">
          <w:rPr>
            <w:noProof/>
            <w:webHidden/>
          </w:rPr>
          <w:instrText xml:space="preserve"> PAGEREF _Toc512241347 \h </w:instrText>
        </w:r>
        <w:r w:rsidR="00830FB9">
          <w:rPr>
            <w:noProof/>
            <w:webHidden/>
          </w:rPr>
        </w:r>
        <w:r w:rsidR="00830FB9">
          <w:rPr>
            <w:noProof/>
            <w:webHidden/>
          </w:rPr>
          <w:fldChar w:fldCharType="separate"/>
        </w:r>
        <w:r w:rsidR="00830FB9">
          <w:rPr>
            <w:noProof/>
            <w:webHidden/>
          </w:rPr>
          <w:t>34</w:t>
        </w:r>
        <w:r w:rsidR="00830FB9">
          <w:rPr>
            <w:noProof/>
            <w:webHidden/>
          </w:rPr>
          <w:fldChar w:fldCharType="end"/>
        </w:r>
      </w:hyperlink>
    </w:p>
    <w:p w14:paraId="4E08870F"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48" w:history="1">
        <w:r w:rsidR="00830FB9" w:rsidRPr="00AF27DC">
          <w:rPr>
            <w:rStyle w:val="Hyperlink"/>
            <w:noProof/>
          </w:rPr>
          <w:t>1. Informierung bei Datenpannen: Data Breach Notifications</w:t>
        </w:r>
        <w:r w:rsidR="00830FB9">
          <w:rPr>
            <w:noProof/>
            <w:webHidden/>
          </w:rPr>
          <w:tab/>
        </w:r>
        <w:r w:rsidR="00830FB9">
          <w:rPr>
            <w:noProof/>
            <w:webHidden/>
          </w:rPr>
          <w:fldChar w:fldCharType="begin"/>
        </w:r>
        <w:r w:rsidR="00830FB9">
          <w:rPr>
            <w:noProof/>
            <w:webHidden/>
          </w:rPr>
          <w:instrText xml:space="preserve"> PAGEREF _Toc512241348 \h </w:instrText>
        </w:r>
        <w:r w:rsidR="00830FB9">
          <w:rPr>
            <w:noProof/>
            <w:webHidden/>
          </w:rPr>
        </w:r>
        <w:r w:rsidR="00830FB9">
          <w:rPr>
            <w:noProof/>
            <w:webHidden/>
          </w:rPr>
          <w:fldChar w:fldCharType="separate"/>
        </w:r>
        <w:r w:rsidR="00830FB9">
          <w:rPr>
            <w:noProof/>
            <w:webHidden/>
          </w:rPr>
          <w:t>34</w:t>
        </w:r>
        <w:r w:rsidR="00830FB9">
          <w:rPr>
            <w:noProof/>
            <w:webHidden/>
          </w:rPr>
          <w:fldChar w:fldCharType="end"/>
        </w:r>
      </w:hyperlink>
    </w:p>
    <w:p w14:paraId="38322F01" w14:textId="77777777" w:rsidR="00830FB9" w:rsidRDefault="002874B2">
      <w:pPr>
        <w:pStyle w:val="Verzeichnis6"/>
        <w:rPr>
          <w:rFonts w:asciiTheme="minorHAnsi" w:eastAsiaTheme="minorEastAsia" w:hAnsiTheme="minorHAnsi" w:cstheme="minorBidi"/>
          <w:noProof/>
          <w:kern w:val="0"/>
          <w:sz w:val="22"/>
          <w:szCs w:val="22"/>
        </w:rPr>
      </w:pPr>
      <w:hyperlink w:anchor="_Toc512241349" w:history="1">
        <w:r w:rsidR="00830FB9" w:rsidRPr="00AF27DC">
          <w:rPr>
            <w:rStyle w:val="Hyperlink"/>
            <w:noProof/>
          </w:rPr>
          <w:t>a) Verpflichtung und Verfahren</w:t>
        </w:r>
        <w:r w:rsidR="00830FB9">
          <w:rPr>
            <w:noProof/>
            <w:webHidden/>
          </w:rPr>
          <w:tab/>
        </w:r>
        <w:r w:rsidR="00830FB9">
          <w:rPr>
            <w:noProof/>
            <w:webHidden/>
          </w:rPr>
          <w:fldChar w:fldCharType="begin"/>
        </w:r>
        <w:r w:rsidR="00830FB9">
          <w:rPr>
            <w:noProof/>
            <w:webHidden/>
          </w:rPr>
          <w:instrText xml:space="preserve"> PAGEREF _Toc512241349 \h </w:instrText>
        </w:r>
        <w:r w:rsidR="00830FB9">
          <w:rPr>
            <w:noProof/>
            <w:webHidden/>
          </w:rPr>
        </w:r>
        <w:r w:rsidR="00830FB9">
          <w:rPr>
            <w:noProof/>
            <w:webHidden/>
          </w:rPr>
          <w:fldChar w:fldCharType="separate"/>
        </w:r>
        <w:r w:rsidR="00830FB9">
          <w:rPr>
            <w:noProof/>
            <w:webHidden/>
          </w:rPr>
          <w:t>35</w:t>
        </w:r>
        <w:r w:rsidR="00830FB9">
          <w:rPr>
            <w:noProof/>
            <w:webHidden/>
          </w:rPr>
          <w:fldChar w:fldCharType="end"/>
        </w:r>
      </w:hyperlink>
    </w:p>
    <w:p w14:paraId="78420A0F"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50" w:history="1">
        <w:r w:rsidR="00830FB9" w:rsidRPr="00AF27DC">
          <w:rPr>
            <w:rStyle w:val="Hyperlink"/>
            <w:noProof/>
          </w:rPr>
          <w:t>aa) Pflichten gegenüber der Aufsichtsbehörde</w:t>
        </w:r>
        <w:r w:rsidR="00830FB9">
          <w:rPr>
            <w:noProof/>
            <w:webHidden/>
          </w:rPr>
          <w:tab/>
        </w:r>
        <w:r w:rsidR="00830FB9">
          <w:rPr>
            <w:noProof/>
            <w:webHidden/>
          </w:rPr>
          <w:fldChar w:fldCharType="begin"/>
        </w:r>
        <w:r w:rsidR="00830FB9">
          <w:rPr>
            <w:noProof/>
            <w:webHidden/>
          </w:rPr>
          <w:instrText xml:space="preserve"> PAGEREF _Toc512241350 \h </w:instrText>
        </w:r>
        <w:r w:rsidR="00830FB9">
          <w:rPr>
            <w:noProof/>
            <w:webHidden/>
          </w:rPr>
        </w:r>
        <w:r w:rsidR="00830FB9">
          <w:rPr>
            <w:noProof/>
            <w:webHidden/>
          </w:rPr>
          <w:fldChar w:fldCharType="separate"/>
        </w:r>
        <w:r w:rsidR="00830FB9">
          <w:rPr>
            <w:noProof/>
            <w:webHidden/>
          </w:rPr>
          <w:t>35</w:t>
        </w:r>
        <w:r w:rsidR="00830FB9">
          <w:rPr>
            <w:noProof/>
            <w:webHidden/>
          </w:rPr>
          <w:fldChar w:fldCharType="end"/>
        </w:r>
      </w:hyperlink>
    </w:p>
    <w:p w14:paraId="1888D358"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51" w:history="1">
        <w:r w:rsidR="00830FB9" w:rsidRPr="00AF27DC">
          <w:rPr>
            <w:rStyle w:val="Hyperlink"/>
            <w:noProof/>
          </w:rPr>
          <w:t>bb) Pflichten gegenüber den Betroffenen</w:t>
        </w:r>
        <w:r w:rsidR="00830FB9">
          <w:rPr>
            <w:noProof/>
            <w:webHidden/>
          </w:rPr>
          <w:tab/>
        </w:r>
        <w:r w:rsidR="00830FB9">
          <w:rPr>
            <w:noProof/>
            <w:webHidden/>
          </w:rPr>
          <w:fldChar w:fldCharType="begin"/>
        </w:r>
        <w:r w:rsidR="00830FB9">
          <w:rPr>
            <w:noProof/>
            <w:webHidden/>
          </w:rPr>
          <w:instrText xml:space="preserve"> PAGEREF _Toc512241351 \h </w:instrText>
        </w:r>
        <w:r w:rsidR="00830FB9">
          <w:rPr>
            <w:noProof/>
            <w:webHidden/>
          </w:rPr>
        </w:r>
        <w:r w:rsidR="00830FB9">
          <w:rPr>
            <w:noProof/>
            <w:webHidden/>
          </w:rPr>
          <w:fldChar w:fldCharType="separate"/>
        </w:r>
        <w:r w:rsidR="00830FB9">
          <w:rPr>
            <w:noProof/>
            <w:webHidden/>
          </w:rPr>
          <w:t>36</w:t>
        </w:r>
        <w:r w:rsidR="00830FB9">
          <w:rPr>
            <w:noProof/>
            <w:webHidden/>
          </w:rPr>
          <w:fldChar w:fldCharType="end"/>
        </w:r>
      </w:hyperlink>
    </w:p>
    <w:p w14:paraId="54208E0A"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52" w:history="1">
        <w:r w:rsidR="00830FB9" w:rsidRPr="00AF27DC">
          <w:rPr>
            <w:rStyle w:val="Hyperlink"/>
            <w:noProof/>
          </w:rPr>
          <w:t>cc) Haftung und Sanktionen</w:t>
        </w:r>
        <w:r w:rsidR="00830FB9">
          <w:rPr>
            <w:noProof/>
            <w:webHidden/>
          </w:rPr>
          <w:tab/>
        </w:r>
        <w:r w:rsidR="00830FB9">
          <w:rPr>
            <w:noProof/>
            <w:webHidden/>
          </w:rPr>
          <w:fldChar w:fldCharType="begin"/>
        </w:r>
        <w:r w:rsidR="00830FB9">
          <w:rPr>
            <w:noProof/>
            <w:webHidden/>
          </w:rPr>
          <w:instrText xml:space="preserve"> PAGEREF _Toc512241352 \h </w:instrText>
        </w:r>
        <w:r w:rsidR="00830FB9">
          <w:rPr>
            <w:noProof/>
            <w:webHidden/>
          </w:rPr>
        </w:r>
        <w:r w:rsidR="00830FB9">
          <w:rPr>
            <w:noProof/>
            <w:webHidden/>
          </w:rPr>
          <w:fldChar w:fldCharType="separate"/>
        </w:r>
        <w:r w:rsidR="00830FB9">
          <w:rPr>
            <w:noProof/>
            <w:webHidden/>
          </w:rPr>
          <w:t>36</w:t>
        </w:r>
        <w:r w:rsidR="00830FB9">
          <w:rPr>
            <w:noProof/>
            <w:webHidden/>
          </w:rPr>
          <w:fldChar w:fldCharType="end"/>
        </w:r>
      </w:hyperlink>
    </w:p>
    <w:p w14:paraId="7FF602E0" w14:textId="77777777" w:rsidR="00830FB9" w:rsidRDefault="002874B2">
      <w:pPr>
        <w:pStyle w:val="Verzeichnis6"/>
        <w:rPr>
          <w:rFonts w:asciiTheme="minorHAnsi" w:eastAsiaTheme="minorEastAsia" w:hAnsiTheme="minorHAnsi" w:cstheme="minorBidi"/>
          <w:noProof/>
          <w:kern w:val="0"/>
          <w:sz w:val="22"/>
          <w:szCs w:val="22"/>
        </w:rPr>
      </w:pPr>
      <w:hyperlink w:anchor="_Toc512241353" w:history="1">
        <w:r w:rsidR="00830FB9" w:rsidRPr="00AF27DC">
          <w:rPr>
            <w:rStyle w:val="Hyperlink"/>
            <w:noProof/>
          </w:rPr>
          <w:t>b) Inhaltliche Anforderungen</w:t>
        </w:r>
        <w:r w:rsidR="00830FB9">
          <w:rPr>
            <w:noProof/>
            <w:webHidden/>
          </w:rPr>
          <w:tab/>
        </w:r>
        <w:r w:rsidR="00830FB9">
          <w:rPr>
            <w:noProof/>
            <w:webHidden/>
          </w:rPr>
          <w:fldChar w:fldCharType="begin"/>
        </w:r>
        <w:r w:rsidR="00830FB9">
          <w:rPr>
            <w:noProof/>
            <w:webHidden/>
          </w:rPr>
          <w:instrText xml:space="preserve"> PAGEREF _Toc512241353 \h </w:instrText>
        </w:r>
        <w:r w:rsidR="00830FB9">
          <w:rPr>
            <w:noProof/>
            <w:webHidden/>
          </w:rPr>
        </w:r>
        <w:r w:rsidR="00830FB9">
          <w:rPr>
            <w:noProof/>
            <w:webHidden/>
          </w:rPr>
          <w:fldChar w:fldCharType="separate"/>
        </w:r>
        <w:r w:rsidR="00830FB9">
          <w:rPr>
            <w:noProof/>
            <w:webHidden/>
          </w:rPr>
          <w:t>36</w:t>
        </w:r>
        <w:r w:rsidR="00830FB9">
          <w:rPr>
            <w:noProof/>
            <w:webHidden/>
          </w:rPr>
          <w:fldChar w:fldCharType="end"/>
        </w:r>
      </w:hyperlink>
    </w:p>
    <w:p w14:paraId="1BD94523" w14:textId="77777777" w:rsidR="00830FB9" w:rsidRDefault="002874B2">
      <w:pPr>
        <w:pStyle w:val="Verzeichnis6"/>
        <w:rPr>
          <w:rFonts w:asciiTheme="minorHAnsi" w:eastAsiaTheme="minorEastAsia" w:hAnsiTheme="minorHAnsi" w:cstheme="minorBidi"/>
          <w:noProof/>
          <w:kern w:val="0"/>
          <w:sz w:val="22"/>
          <w:szCs w:val="22"/>
        </w:rPr>
      </w:pPr>
      <w:hyperlink w:anchor="_Toc512241354" w:history="1">
        <w:r w:rsidR="00830FB9" w:rsidRPr="00AF27DC">
          <w:rPr>
            <w:rStyle w:val="Hyperlink"/>
            <w:noProof/>
          </w:rPr>
          <w:t>c) Zusätzliche Felder der Kommunikation von Datenpannen</w:t>
        </w:r>
        <w:r w:rsidR="00830FB9">
          <w:rPr>
            <w:noProof/>
            <w:webHidden/>
          </w:rPr>
          <w:tab/>
        </w:r>
        <w:r w:rsidR="00830FB9">
          <w:rPr>
            <w:noProof/>
            <w:webHidden/>
          </w:rPr>
          <w:fldChar w:fldCharType="begin"/>
        </w:r>
        <w:r w:rsidR="00830FB9">
          <w:rPr>
            <w:noProof/>
            <w:webHidden/>
          </w:rPr>
          <w:instrText xml:space="preserve"> PAGEREF _Toc512241354 \h </w:instrText>
        </w:r>
        <w:r w:rsidR="00830FB9">
          <w:rPr>
            <w:noProof/>
            <w:webHidden/>
          </w:rPr>
        </w:r>
        <w:r w:rsidR="00830FB9">
          <w:rPr>
            <w:noProof/>
            <w:webHidden/>
          </w:rPr>
          <w:fldChar w:fldCharType="separate"/>
        </w:r>
        <w:r w:rsidR="00830FB9">
          <w:rPr>
            <w:noProof/>
            <w:webHidden/>
          </w:rPr>
          <w:t>37</w:t>
        </w:r>
        <w:r w:rsidR="00830FB9">
          <w:rPr>
            <w:noProof/>
            <w:webHidden/>
          </w:rPr>
          <w:fldChar w:fldCharType="end"/>
        </w:r>
      </w:hyperlink>
    </w:p>
    <w:p w14:paraId="793E09A2"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55" w:history="1">
        <w:r w:rsidR="00830FB9" w:rsidRPr="00AF27DC">
          <w:rPr>
            <w:rStyle w:val="Hyperlink"/>
            <w:noProof/>
          </w:rPr>
          <w:t>aa) (Freiwillige) Kommunikation mit der Öffentlichkeit</w:t>
        </w:r>
        <w:r w:rsidR="00830FB9">
          <w:rPr>
            <w:noProof/>
            <w:webHidden/>
          </w:rPr>
          <w:tab/>
        </w:r>
        <w:r w:rsidR="00830FB9">
          <w:rPr>
            <w:noProof/>
            <w:webHidden/>
          </w:rPr>
          <w:fldChar w:fldCharType="begin"/>
        </w:r>
        <w:r w:rsidR="00830FB9">
          <w:rPr>
            <w:noProof/>
            <w:webHidden/>
          </w:rPr>
          <w:instrText xml:space="preserve"> PAGEREF _Toc512241355 \h </w:instrText>
        </w:r>
        <w:r w:rsidR="00830FB9">
          <w:rPr>
            <w:noProof/>
            <w:webHidden/>
          </w:rPr>
        </w:r>
        <w:r w:rsidR="00830FB9">
          <w:rPr>
            <w:noProof/>
            <w:webHidden/>
          </w:rPr>
          <w:fldChar w:fldCharType="separate"/>
        </w:r>
        <w:r w:rsidR="00830FB9">
          <w:rPr>
            <w:noProof/>
            <w:webHidden/>
          </w:rPr>
          <w:t>37</w:t>
        </w:r>
        <w:r w:rsidR="00830FB9">
          <w:rPr>
            <w:noProof/>
            <w:webHidden/>
          </w:rPr>
          <w:fldChar w:fldCharType="end"/>
        </w:r>
      </w:hyperlink>
    </w:p>
    <w:p w14:paraId="5C047559" w14:textId="77777777" w:rsidR="00830FB9" w:rsidRDefault="002874B2">
      <w:pPr>
        <w:pStyle w:val="Verzeichnis7"/>
        <w:tabs>
          <w:tab w:val="right" w:leader="dot" w:pos="9062"/>
        </w:tabs>
        <w:rPr>
          <w:rFonts w:asciiTheme="minorHAnsi" w:eastAsiaTheme="minorEastAsia" w:hAnsiTheme="minorHAnsi" w:cstheme="minorBidi"/>
          <w:noProof/>
          <w:kern w:val="0"/>
          <w:sz w:val="22"/>
          <w:szCs w:val="22"/>
        </w:rPr>
      </w:pPr>
      <w:hyperlink w:anchor="_Toc512241356" w:history="1">
        <w:r w:rsidR="00830FB9" w:rsidRPr="00AF27DC">
          <w:rPr>
            <w:rStyle w:val="Hyperlink"/>
            <w:noProof/>
          </w:rPr>
          <w:t>bb) Unternehmensinterne Vorbereitung auf Krisen-Kommunikation</w:t>
        </w:r>
        <w:r w:rsidR="00830FB9">
          <w:rPr>
            <w:noProof/>
            <w:webHidden/>
          </w:rPr>
          <w:tab/>
        </w:r>
        <w:r w:rsidR="00830FB9">
          <w:rPr>
            <w:noProof/>
            <w:webHidden/>
          </w:rPr>
          <w:fldChar w:fldCharType="begin"/>
        </w:r>
        <w:r w:rsidR="00830FB9">
          <w:rPr>
            <w:noProof/>
            <w:webHidden/>
          </w:rPr>
          <w:instrText xml:space="preserve"> PAGEREF _Toc512241356 \h </w:instrText>
        </w:r>
        <w:r w:rsidR="00830FB9">
          <w:rPr>
            <w:noProof/>
            <w:webHidden/>
          </w:rPr>
        </w:r>
        <w:r w:rsidR="00830FB9">
          <w:rPr>
            <w:noProof/>
            <w:webHidden/>
          </w:rPr>
          <w:fldChar w:fldCharType="separate"/>
        </w:r>
        <w:r w:rsidR="00830FB9">
          <w:rPr>
            <w:noProof/>
            <w:webHidden/>
          </w:rPr>
          <w:t>38</w:t>
        </w:r>
        <w:r w:rsidR="00830FB9">
          <w:rPr>
            <w:noProof/>
            <w:webHidden/>
          </w:rPr>
          <w:fldChar w:fldCharType="end"/>
        </w:r>
      </w:hyperlink>
    </w:p>
    <w:p w14:paraId="3216CDF2" w14:textId="77777777" w:rsidR="00830FB9" w:rsidRDefault="002874B2">
      <w:pPr>
        <w:pStyle w:val="Verzeichnis5"/>
        <w:tabs>
          <w:tab w:val="right" w:leader="dot" w:pos="9062"/>
        </w:tabs>
        <w:rPr>
          <w:rFonts w:asciiTheme="minorHAnsi" w:eastAsiaTheme="minorEastAsia" w:hAnsiTheme="minorHAnsi" w:cstheme="minorBidi"/>
          <w:noProof/>
          <w:kern w:val="0"/>
          <w:sz w:val="22"/>
          <w:szCs w:val="22"/>
        </w:rPr>
      </w:pPr>
      <w:hyperlink w:anchor="_Toc512241357" w:history="1">
        <w:r w:rsidR="00830FB9" w:rsidRPr="00AF27DC">
          <w:rPr>
            <w:rStyle w:val="Hyperlink"/>
            <w:noProof/>
          </w:rPr>
          <w:t>2. Begleitende Kommunikation im Rechtsstreit</w:t>
        </w:r>
        <w:r w:rsidR="00830FB9">
          <w:rPr>
            <w:noProof/>
            <w:webHidden/>
          </w:rPr>
          <w:tab/>
        </w:r>
        <w:r w:rsidR="00830FB9">
          <w:rPr>
            <w:noProof/>
            <w:webHidden/>
          </w:rPr>
          <w:fldChar w:fldCharType="begin"/>
        </w:r>
        <w:r w:rsidR="00830FB9">
          <w:rPr>
            <w:noProof/>
            <w:webHidden/>
          </w:rPr>
          <w:instrText xml:space="preserve"> PAGEREF _Toc512241357 \h </w:instrText>
        </w:r>
        <w:r w:rsidR="00830FB9">
          <w:rPr>
            <w:noProof/>
            <w:webHidden/>
          </w:rPr>
        </w:r>
        <w:r w:rsidR="00830FB9">
          <w:rPr>
            <w:noProof/>
            <w:webHidden/>
          </w:rPr>
          <w:fldChar w:fldCharType="separate"/>
        </w:r>
        <w:r w:rsidR="00830FB9">
          <w:rPr>
            <w:noProof/>
            <w:webHidden/>
          </w:rPr>
          <w:t>38</w:t>
        </w:r>
        <w:r w:rsidR="00830FB9">
          <w:rPr>
            <w:noProof/>
            <w:webHidden/>
          </w:rPr>
          <w:fldChar w:fldCharType="end"/>
        </w:r>
      </w:hyperlink>
    </w:p>
    <w:p w14:paraId="2FE784FF" w14:textId="77777777" w:rsidR="00830FB9" w:rsidRDefault="002874B2">
      <w:pPr>
        <w:pStyle w:val="Verzeichnis6"/>
        <w:rPr>
          <w:rFonts w:asciiTheme="minorHAnsi" w:eastAsiaTheme="minorEastAsia" w:hAnsiTheme="minorHAnsi" w:cstheme="minorBidi"/>
          <w:noProof/>
          <w:kern w:val="0"/>
          <w:sz w:val="22"/>
          <w:szCs w:val="22"/>
        </w:rPr>
      </w:pPr>
      <w:hyperlink w:anchor="_Toc512241358" w:history="1">
        <w:r w:rsidR="00830FB9" w:rsidRPr="00AF27DC">
          <w:rPr>
            <w:rStyle w:val="Hyperlink"/>
            <w:noProof/>
          </w:rPr>
          <w:t>a) Vorrang der rechtlichen und rechtsförmigen Kommunikation</w:t>
        </w:r>
        <w:r w:rsidR="00830FB9">
          <w:rPr>
            <w:noProof/>
            <w:webHidden/>
          </w:rPr>
          <w:tab/>
        </w:r>
        <w:r w:rsidR="00830FB9">
          <w:rPr>
            <w:noProof/>
            <w:webHidden/>
          </w:rPr>
          <w:fldChar w:fldCharType="begin"/>
        </w:r>
        <w:r w:rsidR="00830FB9">
          <w:rPr>
            <w:noProof/>
            <w:webHidden/>
          </w:rPr>
          <w:instrText xml:space="preserve"> PAGEREF _Toc512241358 \h </w:instrText>
        </w:r>
        <w:r w:rsidR="00830FB9">
          <w:rPr>
            <w:noProof/>
            <w:webHidden/>
          </w:rPr>
        </w:r>
        <w:r w:rsidR="00830FB9">
          <w:rPr>
            <w:noProof/>
            <w:webHidden/>
          </w:rPr>
          <w:fldChar w:fldCharType="separate"/>
        </w:r>
        <w:r w:rsidR="00830FB9">
          <w:rPr>
            <w:noProof/>
            <w:webHidden/>
          </w:rPr>
          <w:t>38</w:t>
        </w:r>
        <w:r w:rsidR="00830FB9">
          <w:rPr>
            <w:noProof/>
            <w:webHidden/>
          </w:rPr>
          <w:fldChar w:fldCharType="end"/>
        </w:r>
      </w:hyperlink>
    </w:p>
    <w:p w14:paraId="5FE5FA6F" w14:textId="77777777" w:rsidR="00830FB9" w:rsidRDefault="002874B2">
      <w:pPr>
        <w:pStyle w:val="Verzeichnis6"/>
        <w:rPr>
          <w:rFonts w:asciiTheme="minorHAnsi" w:eastAsiaTheme="minorEastAsia" w:hAnsiTheme="minorHAnsi" w:cstheme="minorBidi"/>
          <w:noProof/>
          <w:kern w:val="0"/>
          <w:sz w:val="22"/>
          <w:szCs w:val="22"/>
        </w:rPr>
      </w:pPr>
      <w:hyperlink w:anchor="_Toc512241359" w:history="1">
        <w:r w:rsidR="00830FB9" w:rsidRPr="00AF27DC">
          <w:rPr>
            <w:rStyle w:val="Hyperlink"/>
            <w:noProof/>
          </w:rPr>
          <w:t xml:space="preserve">b) Datenschutzmediation und </w:t>
        </w:r>
        <w:r w:rsidR="00830FB9" w:rsidRPr="00AF27DC">
          <w:rPr>
            <w:rStyle w:val="Hyperlink"/>
            <w:noProof/>
          </w:rPr>
          <w:noBreakHyphen/>
          <w:t>ADR</w:t>
        </w:r>
        <w:r w:rsidR="00830FB9">
          <w:rPr>
            <w:noProof/>
            <w:webHidden/>
          </w:rPr>
          <w:tab/>
        </w:r>
        <w:r w:rsidR="00830FB9">
          <w:rPr>
            <w:noProof/>
            <w:webHidden/>
          </w:rPr>
          <w:fldChar w:fldCharType="begin"/>
        </w:r>
        <w:r w:rsidR="00830FB9">
          <w:rPr>
            <w:noProof/>
            <w:webHidden/>
          </w:rPr>
          <w:instrText xml:space="preserve"> PAGEREF _Toc512241359 \h </w:instrText>
        </w:r>
        <w:r w:rsidR="00830FB9">
          <w:rPr>
            <w:noProof/>
            <w:webHidden/>
          </w:rPr>
        </w:r>
        <w:r w:rsidR="00830FB9">
          <w:rPr>
            <w:noProof/>
            <w:webHidden/>
          </w:rPr>
          <w:fldChar w:fldCharType="separate"/>
        </w:r>
        <w:r w:rsidR="00830FB9">
          <w:rPr>
            <w:noProof/>
            <w:webHidden/>
          </w:rPr>
          <w:t>38</w:t>
        </w:r>
        <w:r w:rsidR="00830FB9">
          <w:rPr>
            <w:noProof/>
            <w:webHidden/>
          </w:rPr>
          <w:fldChar w:fldCharType="end"/>
        </w:r>
      </w:hyperlink>
    </w:p>
    <w:p w14:paraId="14C55F53" w14:textId="77777777" w:rsidR="00830FB9" w:rsidRDefault="002874B2">
      <w:pPr>
        <w:pStyle w:val="Verzeichnis4"/>
        <w:rPr>
          <w:rFonts w:asciiTheme="minorHAnsi" w:eastAsiaTheme="minorEastAsia" w:hAnsiTheme="minorHAnsi" w:cstheme="minorBidi"/>
          <w:noProof/>
          <w:kern w:val="0"/>
          <w:sz w:val="22"/>
          <w:szCs w:val="22"/>
        </w:rPr>
      </w:pPr>
      <w:hyperlink w:anchor="_Toc512241360" w:history="1">
        <w:r w:rsidR="00830FB9" w:rsidRPr="00AF27DC">
          <w:rPr>
            <w:rStyle w:val="Hyperlink"/>
            <w:noProof/>
          </w:rPr>
          <w:t>V.</w:t>
        </w:r>
        <w:r w:rsidR="00830FB9">
          <w:rPr>
            <w:rFonts w:asciiTheme="minorHAnsi" w:eastAsiaTheme="minorEastAsia" w:hAnsiTheme="minorHAnsi" w:cstheme="minorBidi"/>
            <w:noProof/>
            <w:kern w:val="0"/>
            <w:sz w:val="22"/>
            <w:szCs w:val="22"/>
          </w:rPr>
          <w:tab/>
        </w:r>
        <w:r w:rsidR="00830FB9" w:rsidRPr="00AF27DC">
          <w:rPr>
            <w:rStyle w:val="Hyperlink"/>
            <w:noProof/>
          </w:rPr>
          <w:t>Schluss</w:t>
        </w:r>
        <w:r w:rsidR="00830FB9">
          <w:rPr>
            <w:noProof/>
            <w:webHidden/>
          </w:rPr>
          <w:tab/>
        </w:r>
        <w:r w:rsidR="00830FB9">
          <w:rPr>
            <w:noProof/>
            <w:webHidden/>
          </w:rPr>
          <w:fldChar w:fldCharType="begin"/>
        </w:r>
        <w:r w:rsidR="00830FB9">
          <w:rPr>
            <w:noProof/>
            <w:webHidden/>
          </w:rPr>
          <w:instrText xml:space="preserve"> PAGEREF _Toc512241360 \h </w:instrText>
        </w:r>
        <w:r w:rsidR="00830FB9">
          <w:rPr>
            <w:noProof/>
            <w:webHidden/>
          </w:rPr>
        </w:r>
        <w:r w:rsidR="00830FB9">
          <w:rPr>
            <w:noProof/>
            <w:webHidden/>
          </w:rPr>
          <w:fldChar w:fldCharType="separate"/>
        </w:r>
        <w:r w:rsidR="00830FB9">
          <w:rPr>
            <w:noProof/>
            <w:webHidden/>
          </w:rPr>
          <w:t>39</w:t>
        </w:r>
        <w:r w:rsidR="00830FB9">
          <w:rPr>
            <w:noProof/>
            <w:webHidden/>
          </w:rPr>
          <w:fldChar w:fldCharType="end"/>
        </w:r>
      </w:hyperlink>
    </w:p>
    <w:p w14:paraId="09C8B82E" w14:textId="6FA21DAF" w:rsidR="00234EBC" w:rsidRDefault="009C5C70" w:rsidP="00C77EC6">
      <w:r>
        <w:fldChar w:fldCharType="end"/>
      </w:r>
    </w:p>
    <w:p w14:paraId="50D5CE9E" w14:textId="77777777" w:rsidR="00591C8E" w:rsidRPr="00BC1F4E" w:rsidRDefault="00591C8E" w:rsidP="00C77EC6">
      <w:pPr>
        <w:rPr>
          <w:b/>
        </w:rPr>
      </w:pPr>
      <w:r w:rsidRPr="00BC1F4E">
        <w:rPr>
          <w:b/>
        </w:rPr>
        <w:t xml:space="preserve">Dieses Werk ist unter einer Creative </w:t>
      </w:r>
      <w:proofErr w:type="spellStart"/>
      <w:r w:rsidRPr="00BC1F4E">
        <w:rPr>
          <w:b/>
        </w:rPr>
        <w:t>Commons</w:t>
      </w:r>
      <w:proofErr w:type="spellEnd"/>
      <w:r w:rsidRPr="00BC1F4E">
        <w:rPr>
          <w:b/>
        </w:rPr>
        <w:t xml:space="preserve"> Lizenz vom Typ Namensnennung 3.0 Deutschland zugänglich. Um eine Kopie dieser Lizenz einzusehen, konsultieren Sie http://creativecommons.org/licenses/by/3.0/de/ oder wenden Sie sich brieflich an Creative </w:t>
      </w:r>
      <w:proofErr w:type="spellStart"/>
      <w:r w:rsidRPr="00BC1F4E">
        <w:rPr>
          <w:b/>
        </w:rPr>
        <w:t>Commons</w:t>
      </w:r>
      <w:proofErr w:type="spellEnd"/>
      <w:r w:rsidRPr="00BC1F4E">
        <w:rPr>
          <w:b/>
        </w:rPr>
        <w:t xml:space="preserve">, Postfach 1866, Mountain View, California, 94042, USA. </w:t>
      </w:r>
    </w:p>
    <w:p w14:paraId="53F20EAF" w14:textId="77777777" w:rsidR="00F63224" w:rsidRDefault="00F63224" w:rsidP="00C77EC6"/>
    <w:p w14:paraId="267E1AD1" w14:textId="6E02C389" w:rsidR="005B34F2" w:rsidRDefault="00947C9E" w:rsidP="00C77EC6">
      <w:r>
        <w:t xml:space="preserve">Die </w:t>
      </w:r>
      <w:r w:rsidR="3C8091D4">
        <w:t xml:space="preserve">Kommunikation im Bereich des Datenschutzes </w:t>
      </w:r>
      <w:r>
        <w:t xml:space="preserve">ist </w:t>
      </w:r>
      <w:r w:rsidR="3C8091D4">
        <w:t>forder</w:t>
      </w:r>
      <w:r w:rsidR="007F177E">
        <w:t>nd</w:t>
      </w:r>
      <w:r w:rsidR="3C8091D4">
        <w:t xml:space="preserve">: Nicht nur die </w:t>
      </w:r>
      <w:proofErr w:type="spellStart"/>
      <w:r w:rsidR="007F177E">
        <w:t>Datenverarbeiter</w:t>
      </w:r>
      <w:proofErr w:type="spellEnd"/>
      <w:r w:rsidR="007F177E">
        <w:t xml:space="preserve"> (in der Gesetzessprache: </w:t>
      </w:r>
      <w:r w:rsidR="00713C77">
        <w:t>„Verantwortlicher“</w:t>
      </w:r>
      <w:r w:rsidR="00020CC0">
        <w:t>, früher auch „Verantwortliche Stellen“</w:t>
      </w:r>
      <w:r w:rsidR="007F177E">
        <w:t>)</w:t>
      </w:r>
      <w:r w:rsidR="3C8091D4">
        <w:t xml:space="preserve"> </w:t>
      </w:r>
      <w:r w:rsidR="007F177E">
        <w:t xml:space="preserve">stöhnen unter den Informationspflichten </w:t>
      </w:r>
      <w:r w:rsidR="3C8091D4">
        <w:t xml:space="preserve">und die Betroffenen </w:t>
      </w:r>
      <w:r w:rsidR="00F44461">
        <w:t xml:space="preserve">dann </w:t>
      </w:r>
      <w:r w:rsidR="3C8091D4">
        <w:t xml:space="preserve">unter den </w:t>
      </w:r>
      <w:r w:rsidR="00D12D63">
        <w:t xml:space="preserve">zur Verfügung gestellten </w:t>
      </w:r>
      <w:r w:rsidR="3C8091D4">
        <w:t xml:space="preserve">Informationen. Auch der Gesetzgeber scheint konzeptionell noch keinen rechten Zugriff auf diesen </w:t>
      </w:r>
      <w:r w:rsidR="00011C99">
        <w:t xml:space="preserve">Fragenkreis </w:t>
      </w:r>
      <w:r w:rsidR="3C8091D4">
        <w:t>gefunden zu haben, w</w:t>
      </w:r>
      <w:r w:rsidR="00011C99">
        <w:t>as</w:t>
      </w:r>
      <w:r w:rsidR="3C8091D4">
        <w:t xml:space="preserve"> sich daran zeigt, dass die gesetzlichen Vorschriften, die die Kommunikation über Datenschutz anordnen, nahezu unlesbar und nur f</w:t>
      </w:r>
      <w:r w:rsidR="00B922BF">
        <w:t xml:space="preserve">ür Fachleute verständlich sind. </w:t>
      </w:r>
      <w:r w:rsidR="00053361">
        <w:t>I</w:t>
      </w:r>
      <w:r w:rsidR="009020C9">
        <w:t xml:space="preserve">n der Fachwelt werden </w:t>
      </w:r>
      <w:r w:rsidR="008031E8">
        <w:t>zune</w:t>
      </w:r>
      <w:r w:rsidR="00B2334F">
        <w:t>h</w:t>
      </w:r>
      <w:r w:rsidR="008031E8">
        <w:t xml:space="preserve">mend </w:t>
      </w:r>
      <w:r w:rsidR="009020C9">
        <w:t xml:space="preserve">einzelne Vorschriften als fehlkonstruiert und kaum lesbar bezeichnet. Gerade die Informierungsvorschriften selber </w:t>
      </w:r>
      <w:r w:rsidR="00011C99">
        <w:t xml:space="preserve">(z.B. Art. 13, 14 </w:t>
      </w:r>
      <w:r w:rsidR="004B5BAB">
        <w:t>EU-Datenschutz-Grundverordnung [</w:t>
      </w:r>
      <w:r w:rsidR="00011C99">
        <w:t>DSGVO</w:t>
      </w:r>
      <w:r w:rsidR="004B5BAB">
        <w:t>]</w:t>
      </w:r>
      <w:r w:rsidR="00011C99">
        <w:t>; §§ 3</w:t>
      </w:r>
      <w:r w:rsidR="005B57E3">
        <w:t>2</w:t>
      </w:r>
      <w:r w:rsidR="00011C99">
        <w:t> f</w:t>
      </w:r>
      <w:r w:rsidR="005B57E3">
        <w:t>f</w:t>
      </w:r>
      <w:r w:rsidR="00EA7F23">
        <w:t xml:space="preserve">. </w:t>
      </w:r>
      <w:r w:rsidR="004B5BAB">
        <w:t>Bundesdatenschutzgesetz [</w:t>
      </w:r>
      <w:r w:rsidR="00011C99">
        <w:t>BDSG</w:t>
      </w:r>
      <w:r w:rsidR="004B5BAB">
        <w:t>]</w:t>
      </w:r>
      <w:r w:rsidR="00011C99">
        <w:t xml:space="preserve">) </w:t>
      </w:r>
      <w:r w:rsidR="009020C9">
        <w:t xml:space="preserve">sind häufig länger als durchschnittliche Datenschutzerklärungen und </w:t>
      </w:r>
      <w:r w:rsidR="00C533B6">
        <w:t xml:space="preserve">sind </w:t>
      </w:r>
      <w:r w:rsidR="009020C9">
        <w:t xml:space="preserve">damit </w:t>
      </w:r>
      <w:r w:rsidR="00C533B6">
        <w:t xml:space="preserve">selbst kein rechtes Vorbild für </w:t>
      </w:r>
      <w:r w:rsidR="009020C9">
        <w:t>Transparenz</w:t>
      </w:r>
      <w:r w:rsidR="006F67F5">
        <w:t>.</w:t>
      </w:r>
      <w:r w:rsidR="00A87166">
        <w:t xml:space="preserve"> </w:t>
      </w:r>
    </w:p>
    <w:p w14:paraId="1D2AC77A" w14:textId="70CDC967" w:rsidR="00AF6091" w:rsidRDefault="00AF6091" w:rsidP="00C77EC6">
      <w:r>
        <w:t xml:space="preserve">Im Folgenden soll gezeigt werden, wie man </w:t>
      </w:r>
      <w:r w:rsidR="00447956">
        <w:t xml:space="preserve">die </w:t>
      </w:r>
      <w:r>
        <w:t xml:space="preserve">rechtlichen Vorgaben im Bereich des Datenschutzes </w:t>
      </w:r>
      <w:r w:rsidRPr="00830FB9">
        <w:t>(I.)</w:t>
      </w:r>
      <w:r>
        <w:t xml:space="preserve"> unter </w:t>
      </w:r>
      <w:r w:rsidR="007734A3">
        <w:t xml:space="preserve">kommunikationspraktischen Erkenntnissen </w:t>
      </w:r>
      <w:r>
        <w:t xml:space="preserve">sinnvoll und insbesondere unter Berücksichtigung der praktischen Bedürfnisse </w:t>
      </w:r>
      <w:r w:rsidR="00447956">
        <w:t xml:space="preserve">umsetzen </w:t>
      </w:r>
      <w:r>
        <w:t>kann.</w:t>
      </w:r>
    </w:p>
    <w:p w14:paraId="25E34444" w14:textId="3810C466" w:rsidR="00AF6091" w:rsidRDefault="00AF6091" w:rsidP="00C77EC6">
      <w:r>
        <w:t xml:space="preserve">Die Darstellung vollzieht hierfür die </w:t>
      </w:r>
      <w:r w:rsidR="00447956">
        <w:t>unterschiedlichen</w:t>
      </w:r>
      <w:r>
        <w:t xml:space="preserve"> Phasen der möglichen Kommunikation zwischen Verarbeiter und Betroffene</w:t>
      </w:r>
      <w:r w:rsidR="000046A9">
        <w:t>n</w:t>
      </w:r>
      <w:r>
        <w:t xml:space="preserve"> </w:t>
      </w:r>
      <w:r w:rsidR="00447956">
        <w:t xml:space="preserve">chronologisch </w:t>
      </w:r>
      <w:r>
        <w:t xml:space="preserve">nach. So beginnt die Auseinandersetzung </w:t>
      </w:r>
      <w:r>
        <w:lastRenderedPageBreak/>
        <w:t xml:space="preserve">mit den proaktiven </w:t>
      </w:r>
      <w:r w:rsidRPr="00830FB9">
        <w:t xml:space="preserve">Aspekten (II.), die der eigentlichen Kommunikation vorgelagert stattfinden müssen. Dieser folgen verschiedene, in </w:t>
      </w:r>
      <w:r w:rsidR="0072353B" w:rsidRPr="00830FB9">
        <w:t>der Regel rechtlich vorgegebene spezifische</w:t>
      </w:r>
      <w:r w:rsidRPr="00830FB9">
        <w:t xml:space="preserve"> Kommunikationsanlässe (III.). Schlussendlich darf auch eine Auseinanderse</w:t>
      </w:r>
      <w:r w:rsidR="0072353B" w:rsidRPr="00830FB9">
        <w:t>tzung mit dem „</w:t>
      </w:r>
      <w:proofErr w:type="spellStart"/>
      <w:r w:rsidR="0072353B" w:rsidRPr="00830FB9">
        <w:t>Worst</w:t>
      </w:r>
      <w:proofErr w:type="spellEnd"/>
      <w:r w:rsidR="0072353B" w:rsidRPr="00830FB9">
        <w:t xml:space="preserve"> Case“ eines Datenschutzverstoßes</w:t>
      </w:r>
      <w:r w:rsidRPr="00830FB9">
        <w:t xml:space="preserve"> und der </w:t>
      </w:r>
      <w:r w:rsidR="004F7C8E" w:rsidRPr="00830FB9">
        <w:t xml:space="preserve">dann erforderlichen </w:t>
      </w:r>
      <w:r w:rsidRPr="00830FB9">
        <w:t>reaktiven K</w:t>
      </w:r>
      <w:r w:rsidR="004F7C8E" w:rsidRPr="00830FB9">
        <w:t>risenk</w:t>
      </w:r>
      <w:r w:rsidRPr="00830FB9">
        <w:t>ommunikation nicht fehlen (IV.).</w:t>
      </w:r>
    </w:p>
    <w:p w14:paraId="23334F6A" w14:textId="16A9D038" w:rsidR="00AF6091" w:rsidRDefault="00AF6091" w:rsidP="00C77EC6">
      <w:r>
        <w:t xml:space="preserve">In den einzelnen Abschnitten soll dabei jeweils zuerst auf die rechtlichen Form- und Verfahrenserfordernisse und die verlangten (Mindest-)Inhalte und </w:t>
      </w:r>
      <w:r w:rsidR="000046A9">
        <w:t xml:space="preserve">dann </w:t>
      </w:r>
      <w:r w:rsidR="005962ED">
        <w:t xml:space="preserve">auf </w:t>
      </w:r>
      <w:r w:rsidR="00545A03">
        <w:t>mögliche</w:t>
      </w:r>
      <w:r w:rsidR="005962ED">
        <w:t xml:space="preserve"> Ansatzpunkte </w:t>
      </w:r>
      <w:r w:rsidR="00545A03">
        <w:t xml:space="preserve">für eine für Verarbeiter und Betroffenen Vorteile bietende </w:t>
      </w:r>
      <w:r w:rsidR="005962ED">
        <w:t>Kommunikationsstrategie eingegangen werden.</w:t>
      </w:r>
    </w:p>
    <w:p w14:paraId="5BB34415" w14:textId="40B1DFB3" w:rsidR="0031681A" w:rsidRDefault="00081731" w:rsidP="00FC7B7B">
      <w:pPr>
        <w:pStyle w:val="berschrift4"/>
      </w:pPr>
      <w:bookmarkStart w:id="6" w:name="_Toc469776766"/>
      <w:bookmarkStart w:id="7" w:name="_Toc471812195"/>
      <w:bookmarkStart w:id="8" w:name="_Toc471818762"/>
      <w:bookmarkStart w:id="9" w:name="_Toc471826442"/>
      <w:bookmarkStart w:id="10" w:name="_Toc471828043"/>
      <w:bookmarkStart w:id="11" w:name="_Toc471829401"/>
      <w:bookmarkStart w:id="12" w:name="_Toc512241271"/>
      <w:r>
        <w:t>Grundlagen</w:t>
      </w:r>
      <w:bookmarkEnd w:id="6"/>
      <w:bookmarkEnd w:id="7"/>
      <w:bookmarkEnd w:id="8"/>
      <w:bookmarkEnd w:id="9"/>
      <w:bookmarkEnd w:id="10"/>
      <w:bookmarkEnd w:id="11"/>
      <w:bookmarkEnd w:id="12"/>
    </w:p>
    <w:p w14:paraId="1C5DC286" w14:textId="2FF4A0D1" w:rsidR="00081731" w:rsidRPr="00081731" w:rsidRDefault="00081731" w:rsidP="00DC7166">
      <w:pPr>
        <w:pStyle w:val="berschrift5"/>
      </w:pPr>
      <w:bookmarkStart w:id="13" w:name="_Toc469776767"/>
      <w:bookmarkStart w:id="14" w:name="_Toc471812196"/>
      <w:bookmarkStart w:id="15" w:name="_Toc471818763"/>
      <w:bookmarkStart w:id="16" w:name="_Toc471826443"/>
      <w:bookmarkStart w:id="17" w:name="_Toc471828044"/>
      <w:bookmarkStart w:id="18" w:name="_Toc471829402"/>
      <w:bookmarkStart w:id="19" w:name="_Toc512241272"/>
      <w:r>
        <w:t>Rationale Apathie</w:t>
      </w:r>
      <w:r w:rsidR="004A39B0">
        <w:t xml:space="preserve"> der Betroffenen</w:t>
      </w:r>
      <w:bookmarkEnd w:id="13"/>
      <w:bookmarkEnd w:id="14"/>
      <w:bookmarkEnd w:id="15"/>
      <w:bookmarkEnd w:id="16"/>
      <w:bookmarkEnd w:id="17"/>
      <w:bookmarkEnd w:id="18"/>
      <w:bookmarkEnd w:id="19"/>
    </w:p>
    <w:p w14:paraId="29DED98D" w14:textId="27A2AA3E" w:rsidR="003A30D1" w:rsidRDefault="3C8091D4" w:rsidP="00C77EC6">
      <w:r>
        <w:t xml:space="preserve">Ausgangspunkt </w:t>
      </w:r>
      <w:r w:rsidR="000328BB">
        <w:t xml:space="preserve">für die Probleme der Kommunikation von Datenschutz </w:t>
      </w:r>
      <w:r>
        <w:t xml:space="preserve">ist die „rationale Apathie“ </w:t>
      </w:r>
      <w:r w:rsidR="000328BB">
        <w:t xml:space="preserve">der </w:t>
      </w:r>
      <w:r>
        <w:t xml:space="preserve">Betroffenen. Für die Betroffenen scheint es </w:t>
      </w:r>
      <w:r w:rsidR="007A0A57">
        <w:t xml:space="preserve">oft </w:t>
      </w:r>
      <w:r>
        <w:t>günstiger, Datenschutzverletzungen oder informationelle Zudring</w:t>
      </w:r>
      <w:r w:rsidR="00E676D3">
        <w:t>lichkeiten von Datenverarbeitern</w:t>
      </w:r>
      <w:r>
        <w:t xml:space="preserve"> hinzunehmen, </w:t>
      </w:r>
      <w:r w:rsidR="007A0A57">
        <w:t>ja sogar</w:t>
      </w:r>
      <w:r>
        <w:t xml:space="preserve">, sich mit der Tatsache und den Rahmenbedingungen personenbezogener Datenverarbeitung überhaupt nicht zu befassen. Ursache hierfür ist </w:t>
      </w:r>
      <w:r w:rsidR="004A39B0">
        <w:t xml:space="preserve">neben der schieren Informationsmenge das </w:t>
      </w:r>
      <w:r>
        <w:t xml:space="preserve">Informationsgefälle zwischen </w:t>
      </w:r>
      <w:r w:rsidR="008F0A6E">
        <w:t>Verantwortlicher Stelle</w:t>
      </w:r>
      <w:r>
        <w:t xml:space="preserve"> und Betroffenem, zum Teil auch der Informationsfluss selbst.</w:t>
      </w:r>
    </w:p>
    <w:p w14:paraId="4782E662" w14:textId="4FAD1A68" w:rsidR="00C15865" w:rsidRDefault="001B5952" w:rsidP="00C77EC6">
      <w:r>
        <w:t>Eine ähnliche Apathie gegenüber dem Datenschutz scheint auch bei vielen Datenverarbeitern zu bestehen (s</w:t>
      </w:r>
      <w:r w:rsidR="00020CC0">
        <w:t>.</w:t>
      </w:r>
      <w:r>
        <w:t xml:space="preserve"> bspw. ZEW Branchenreport Informationswirtschaft, </w:t>
      </w:r>
      <w:r w:rsidRPr="001B5952">
        <w:t>http://t1p.de/yahx</w:t>
      </w:r>
      <w:r>
        <w:t>)</w:t>
      </w:r>
      <w:r w:rsidR="00F262CA">
        <w:t xml:space="preserve">; sie kann jedoch aufgrund der gravierenden drohenden Konsequenzen bei diesen </w:t>
      </w:r>
      <w:r w:rsidR="00020CC0">
        <w:t xml:space="preserve">heute </w:t>
      </w:r>
      <w:r w:rsidR="00F262CA">
        <w:t xml:space="preserve">kaum </w:t>
      </w:r>
      <w:r w:rsidR="00020CC0">
        <w:t xml:space="preserve">mehr </w:t>
      </w:r>
      <w:r w:rsidR="00F262CA">
        <w:t>als rational begriffen werden.</w:t>
      </w:r>
    </w:p>
    <w:p w14:paraId="5A4BF5E5" w14:textId="53C5A4B0" w:rsidR="00852430" w:rsidRDefault="00852430" w:rsidP="00CB576F">
      <w:pPr>
        <w:pStyle w:val="berschrift6"/>
      </w:pPr>
      <w:bookmarkStart w:id="20" w:name="_Toc471812197"/>
      <w:bookmarkStart w:id="21" w:name="_Toc471818764"/>
      <w:bookmarkStart w:id="22" w:name="_Toc471826444"/>
      <w:bookmarkStart w:id="23" w:name="_Toc471828045"/>
      <w:bookmarkStart w:id="24" w:name="_Toc471829403"/>
      <w:bookmarkStart w:id="25" w:name="_Toc512241273"/>
      <w:r>
        <w:t>„Information Overkill“</w:t>
      </w:r>
      <w:bookmarkEnd w:id="20"/>
      <w:bookmarkEnd w:id="21"/>
      <w:bookmarkEnd w:id="22"/>
      <w:bookmarkEnd w:id="23"/>
      <w:bookmarkEnd w:id="24"/>
      <w:bookmarkEnd w:id="25"/>
    </w:p>
    <w:p w14:paraId="7E538884" w14:textId="6EB160DB" w:rsidR="00AB07A3" w:rsidRDefault="00C15865" w:rsidP="00C77EC6">
      <w:r>
        <w:t>So hat</w:t>
      </w:r>
      <w:r w:rsidR="007503B1">
        <w:t xml:space="preserve"> </w:t>
      </w:r>
      <w:r>
        <w:t xml:space="preserve">die Menge der heutzutage verarbeiteten Informationen ein </w:t>
      </w:r>
      <w:r w:rsidR="00020CC0">
        <w:t xml:space="preserve">nur noch schwer </w:t>
      </w:r>
      <w:r>
        <w:t>in vorstellbaren Einheiten zu verbildlichendes Ausmaß</w:t>
      </w:r>
      <w:r w:rsidR="00A52F0F">
        <w:t xml:space="preserve"> erreicht</w:t>
      </w:r>
      <w:r>
        <w:t xml:space="preserve">. </w:t>
      </w:r>
      <w:r w:rsidR="000A7B34">
        <w:t xml:space="preserve">Auch haben </w:t>
      </w:r>
      <w:proofErr w:type="spellStart"/>
      <w:r w:rsidR="000A7B34">
        <w:t>Datenverarbeiter</w:t>
      </w:r>
      <w:proofErr w:type="spellEnd"/>
      <w:r w:rsidR="000A7B34">
        <w:t xml:space="preserve"> einen oft schwer </w:t>
      </w:r>
      <w:proofErr w:type="spellStart"/>
      <w:r w:rsidR="000A7B34">
        <w:t>kompensierbaren</w:t>
      </w:r>
      <w:proofErr w:type="spellEnd"/>
      <w:r w:rsidR="000A7B34">
        <w:t xml:space="preserve"> Kenntnis- und Informationsvorsprung. </w:t>
      </w:r>
      <w:r w:rsidR="00BE22B9">
        <w:t>Der Gesetzgeber versucht dies in vielen Bereich</w:t>
      </w:r>
      <w:r w:rsidR="00D117FF">
        <w:t>en</w:t>
      </w:r>
      <w:r w:rsidR="00BE22B9">
        <w:t xml:space="preserve"> durch detaillierte Informationspflichten auszugleichen; a</w:t>
      </w:r>
      <w:r w:rsidR="00AB07A3">
        <w:t xml:space="preserve">m Beispiel von Beratungsprotokollen von Bankberatern </w:t>
      </w:r>
      <w:r w:rsidR="00852430">
        <w:t xml:space="preserve">etwa </w:t>
      </w:r>
      <w:r w:rsidR="00AB07A3">
        <w:t>zeigt sich</w:t>
      </w:r>
      <w:r w:rsidR="00852430">
        <w:t xml:space="preserve"> aber</w:t>
      </w:r>
      <w:r w:rsidR="00AB07A3">
        <w:t>, dass umfangreiche Mitteilungs- und Dokumentationspflichten dem Verbraucher im Zweifel nicht helfen, wenn ihm eine Prüfung der mitgeteilten Informationen entweder aufgrund der Masse oder fehlender Fachkenntnisse ohnehin kaum möglich ist.</w:t>
      </w:r>
      <w:r w:rsidR="00E46908">
        <w:t xml:space="preserve"> </w:t>
      </w:r>
      <w:r w:rsidR="00D5428E">
        <w:t xml:space="preserve">– </w:t>
      </w:r>
      <w:r w:rsidR="00E46908">
        <w:t>Man umschreibt dieses Phänomen häufig mit dem Begriff „</w:t>
      </w:r>
      <w:r w:rsidR="00E46908" w:rsidRPr="006D7EB2">
        <w:rPr>
          <w:lang w:val="en-GB"/>
        </w:rPr>
        <w:t>information overkill</w:t>
      </w:r>
      <w:r w:rsidR="00E46908">
        <w:t>“.</w:t>
      </w:r>
    </w:p>
    <w:p w14:paraId="58664CFF" w14:textId="791C45C8" w:rsidR="00893F37" w:rsidRDefault="00893F37" w:rsidP="00CB576F">
      <w:pPr>
        <w:pStyle w:val="berschrift6"/>
      </w:pPr>
      <w:bookmarkStart w:id="26" w:name="_Toc471812198"/>
      <w:bookmarkStart w:id="27" w:name="_Toc471818765"/>
      <w:bookmarkStart w:id="28" w:name="_Toc471826445"/>
      <w:bookmarkStart w:id="29" w:name="_Toc471828046"/>
      <w:bookmarkStart w:id="30" w:name="_Toc471829404"/>
      <w:bookmarkStart w:id="31" w:name="_Toc512241274"/>
      <w:r>
        <w:t>Fehlende Fühlbarkeit informationeller Eingriffe</w:t>
      </w:r>
      <w:bookmarkEnd w:id="26"/>
      <w:bookmarkEnd w:id="27"/>
      <w:bookmarkEnd w:id="28"/>
      <w:bookmarkEnd w:id="29"/>
      <w:bookmarkEnd w:id="30"/>
      <w:bookmarkEnd w:id="31"/>
    </w:p>
    <w:p w14:paraId="67EC704C" w14:textId="03E4A954" w:rsidR="00AB07A3" w:rsidRDefault="00AB07A3" w:rsidP="00C77EC6">
      <w:r>
        <w:t xml:space="preserve">Hinzu kommt, dass </w:t>
      </w:r>
      <w:r w:rsidR="00B65F54">
        <w:t>i</w:t>
      </w:r>
      <w:r w:rsidR="00B65F54" w:rsidRPr="00B65F54">
        <w:t>nformationelle Eingriffe nicht unmittelbar fühlbar</w:t>
      </w:r>
      <w:r>
        <w:t xml:space="preserve"> sind</w:t>
      </w:r>
      <w:r w:rsidR="00B65F54" w:rsidRPr="00B65F54">
        <w:t xml:space="preserve">. Sie haben meist keine direkte Konsequenz. </w:t>
      </w:r>
      <w:r>
        <w:t>Der</w:t>
      </w:r>
      <w:r w:rsidR="00B65F54" w:rsidRPr="00B65F54">
        <w:t xml:space="preserve"> Mensch </w:t>
      </w:r>
      <w:r>
        <w:t xml:space="preserve">reagiert </w:t>
      </w:r>
      <w:r w:rsidR="00B65F54" w:rsidRPr="00B65F54">
        <w:t>auf solchermaßen gemittelte Reize und Impulse weniger stark</w:t>
      </w:r>
      <w:r>
        <w:t xml:space="preserve"> </w:t>
      </w:r>
      <w:r w:rsidR="00B65F54" w:rsidRPr="00B65F54">
        <w:t>als etwa auf körperlichen Schmerz oder eine unmittelbare finanzielle Einbuße</w:t>
      </w:r>
      <w:r>
        <w:t xml:space="preserve">. Somit </w:t>
      </w:r>
      <w:r w:rsidR="00B65F54" w:rsidRPr="00B65F54">
        <w:t xml:space="preserve">ist es schon </w:t>
      </w:r>
      <w:r>
        <w:t xml:space="preserve">aus </w:t>
      </w:r>
      <w:r w:rsidR="00B65F54" w:rsidRPr="00B65F54">
        <w:t>psychologisch</w:t>
      </w:r>
      <w:r>
        <w:t>er Perspektive</w:t>
      </w:r>
      <w:r w:rsidR="00B65F54" w:rsidRPr="00B65F54">
        <w:t xml:space="preserve"> verständlich, dass Gefährdungen und Verletzungen der informationellen Privatheit als weniger dringlich empfunden werden als Beeinträchtigung</w:t>
      </w:r>
      <w:r>
        <w:t xml:space="preserve">en durch die </w:t>
      </w:r>
      <w:r w:rsidR="00675BCB">
        <w:t>physische</w:t>
      </w:r>
      <w:r>
        <w:t xml:space="preserve"> Umwelt.</w:t>
      </w:r>
      <w:r w:rsidR="0075689E">
        <w:t xml:space="preserve"> </w:t>
      </w:r>
      <w:r w:rsidR="00D5428E">
        <w:t>Zudem finden d</w:t>
      </w:r>
      <w:r>
        <w:t xml:space="preserve">ie häufigsten Verstöße auf einer sehr niederschwelligen Ebene </w:t>
      </w:r>
      <w:r w:rsidR="00D5428E">
        <w:t xml:space="preserve">statt </w:t>
      </w:r>
      <w:r>
        <w:t>(insb. im Werbebereich und im Internet), sodass von rechtlichen Schritten meist nicht nur abgesehen wird, sondern diese gar nicht erst als eine Option wahrgenommen werden.</w:t>
      </w:r>
      <w:r w:rsidR="009C52AE">
        <w:t xml:space="preserve"> </w:t>
      </w:r>
      <w:r w:rsidR="000E7C30">
        <w:t xml:space="preserve">Ein weiterer Faktor ist </w:t>
      </w:r>
      <w:r w:rsidR="009C52AE">
        <w:t xml:space="preserve">die Gewöhnung an die Weitergabe von </w:t>
      </w:r>
      <w:r w:rsidR="009C52AE">
        <w:lastRenderedPageBreak/>
        <w:t>Daten im „Umsonst-Internet“, bei dem die Daten gewissermaßen im Tausch gegen Inhalte od</w:t>
      </w:r>
      <w:r w:rsidR="00634892">
        <w:t xml:space="preserve">er Dienste </w:t>
      </w:r>
      <w:r w:rsidR="00B45CC5">
        <w:t>ab</w:t>
      </w:r>
      <w:r w:rsidR="00634892">
        <w:t>gegeben werden.</w:t>
      </w:r>
    </w:p>
    <w:p w14:paraId="7D91CD09" w14:textId="6901F295" w:rsidR="0075689E" w:rsidRDefault="00CB576F" w:rsidP="00CB576F">
      <w:pPr>
        <w:pStyle w:val="berschrift6"/>
      </w:pPr>
      <w:bookmarkStart w:id="32" w:name="_Toc471812199"/>
      <w:bookmarkStart w:id="33" w:name="_Toc471818766"/>
      <w:bookmarkStart w:id="34" w:name="_Toc471826446"/>
      <w:bookmarkStart w:id="35" w:name="_Toc471828047"/>
      <w:bookmarkStart w:id="36" w:name="_Toc471829405"/>
      <w:bookmarkStart w:id="37" w:name="_Toc512241275"/>
      <w:r>
        <w:t>Lästigkeit des Datenschutzes</w:t>
      </w:r>
      <w:bookmarkEnd w:id="32"/>
      <w:bookmarkEnd w:id="33"/>
      <w:bookmarkEnd w:id="34"/>
      <w:bookmarkEnd w:id="35"/>
      <w:bookmarkEnd w:id="36"/>
      <w:bookmarkEnd w:id="37"/>
    </w:p>
    <w:p w14:paraId="14EEB99E" w14:textId="3CD76892" w:rsidR="00ED2581" w:rsidRDefault="00AB07A3" w:rsidP="00C77EC6">
      <w:r>
        <w:t xml:space="preserve">Solange der Betroffene Datenschutzinformation und Datenschutz jedoch nicht für wichtig hält, befindet man sich schlussendlich in der Situation, dass der Datenschutz </w:t>
      </w:r>
      <w:r w:rsidR="00CB576F">
        <w:t xml:space="preserve">nicht nur für die </w:t>
      </w:r>
      <w:r w:rsidR="008F0A6E">
        <w:t>Verantwortliche Stelle</w:t>
      </w:r>
      <w:r w:rsidR="00CB576F">
        <w:t>, sondern</w:t>
      </w:r>
      <w:r>
        <w:t xml:space="preserve"> auch </w:t>
      </w:r>
      <w:r w:rsidR="00CB576F">
        <w:t xml:space="preserve">für den </w:t>
      </w:r>
      <w:r>
        <w:t xml:space="preserve">Betroffenen lästig </w:t>
      </w:r>
      <w:r w:rsidR="00A46BC2">
        <w:t>ist</w:t>
      </w:r>
      <w:r>
        <w:t>. Der eine versucht daher</w:t>
      </w:r>
      <w:r w:rsidR="00591337">
        <w:t>,</w:t>
      </w:r>
      <w:r>
        <w:t xml:space="preserve"> den Vorgaben formal zu genügen, während der andere den Informationen</w:t>
      </w:r>
      <w:r w:rsidR="00AE6D9E">
        <w:t>,</w:t>
      </w:r>
      <w:r>
        <w:t xml:space="preserve"> soweit es geht</w:t>
      </w:r>
      <w:r w:rsidR="00AE6D9E">
        <w:t>,</w:t>
      </w:r>
      <w:r>
        <w:t xml:space="preserve"> mechanisch durch Wegklicken </w:t>
      </w:r>
      <w:r w:rsidR="00AE6D9E">
        <w:t xml:space="preserve">und Wegwischen </w:t>
      </w:r>
      <w:r>
        <w:t>ausweicht.</w:t>
      </w:r>
    </w:p>
    <w:p w14:paraId="03AA20C9" w14:textId="0C0ECB40" w:rsidR="008D204B" w:rsidRDefault="008D204B" w:rsidP="00BF1C86">
      <w:pPr>
        <w:pStyle w:val="berschrift6"/>
      </w:pPr>
      <w:bookmarkStart w:id="38" w:name="_Toc471812200"/>
      <w:bookmarkStart w:id="39" w:name="_Toc471818767"/>
      <w:bookmarkStart w:id="40" w:name="_Toc471826447"/>
      <w:bookmarkStart w:id="41" w:name="_Toc471828048"/>
      <w:bookmarkStart w:id="42" w:name="_Toc471829406"/>
      <w:bookmarkStart w:id="43" w:name="_Toc512241276"/>
      <w:r>
        <w:t>Datenschutz als dysfunktionales Argument</w:t>
      </w:r>
      <w:bookmarkEnd w:id="38"/>
      <w:bookmarkEnd w:id="39"/>
      <w:bookmarkEnd w:id="40"/>
      <w:bookmarkEnd w:id="41"/>
      <w:bookmarkEnd w:id="42"/>
      <w:bookmarkEnd w:id="43"/>
      <w:r>
        <w:t xml:space="preserve"> </w:t>
      </w:r>
    </w:p>
    <w:p w14:paraId="2E980BFA" w14:textId="6C802C86" w:rsidR="008D204B" w:rsidRDefault="00533874" w:rsidP="008D204B">
      <w:r>
        <w:t xml:space="preserve">Dem Ruf des Datenschutzes ist </w:t>
      </w:r>
      <w:r w:rsidR="00602CDD">
        <w:t>es</w:t>
      </w:r>
      <w:r>
        <w:t xml:space="preserve"> wenig dienlich, </w:t>
      </w:r>
      <w:r w:rsidR="008D204B">
        <w:t xml:space="preserve">dass </w:t>
      </w:r>
      <w:r w:rsidR="0066501E">
        <w:t>er</w:t>
      </w:r>
      <w:r>
        <w:t xml:space="preserve"> teil</w:t>
      </w:r>
      <w:r w:rsidR="0066501E">
        <w:t>wei</w:t>
      </w:r>
      <w:r>
        <w:t>s</w:t>
      </w:r>
      <w:r w:rsidR="0066501E">
        <w:t>e</w:t>
      </w:r>
      <w:r>
        <w:t xml:space="preserve"> </w:t>
      </w:r>
      <w:r w:rsidR="008D204B">
        <w:t>als dysfunktionales Argument missbraucht wird</w:t>
      </w:r>
      <w:r>
        <w:t xml:space="preserve">. </w:t>
      </w:r>
      <w:r w:rsidR="000D3BB8">
        <w:t>Durch das Informationsfreiheitgesetz des Bundes (IFG) und weitere auf Landesebene ist mittlerweile im öffentlichen Bereich ein Wandel von grundsätzlichem Aktengeheimnis und Vertraulichkeit der Verwaltung hin zu einer Transparenz und einem grundsätzlich freien Zugang zu Informationen zu erkennen.</w:t>
      </w:r>
      <w:r w:rsidR="00512794">
        <w:t xml:space="preserve"> </w:t>
      </w:r>
      <w:r w:rsidR="008D204B">
        <w:t xml:space="preserve">Der Datenschutz wird </w:t>
      </w:r>
      <w:r w:rsidR="000D3BB8">
        <w:t xml:space="preserve">hier aber – wie </w:t>
      </w:r>
      <w:r w:rsidR="0066501E">
        <w:t>t</w:t>
      </w:r>
      <w:r w:rsidR="000D3BB8">
        <w:t>eils auch das Urheberrecht –</w:t>
      </w:r>
      <w:r w:rsidR="00512794">
        <w:t xml:space="preserve"> </w:t>
      </w:r>
      <w:r w:rsidR="008D204B">
        <w:t xml:space="preserve">berechtigten Informations- und Transparenzpflichten </w:t>
      </w:r>
      <w:r w:rsidR="000D3BB8">
        <w:t xml:space="preserve">pauschal </w:t>
      </w:r>
      <w:r w:rsidR="008D204B">
        <w:t>entgegengehalten.</w:t>
      </w:r>
      <w:r w:rsidR="000D3BB8">
        <w:rPr>
          <w:vertAlign w:val="superscript"/>
        </w:rPr>
        <w:t xml:space="preserve"> </w:t>
      </w:r>
      <w:r w:rsidR="000D3BB8">
        <w:t xml:space="preserve">Freilich sind Fälle denkbar, in denen dies zum Schutze persönlicher Daten Dritter unumgänglich ist. Eine pauschale Ablehnung aufgrund datenschutzrechtlicher Bedenken verhindert aber die Befassung mit dem Einzelfall. Der Datenschutz soll gerade </w:t>
      </w:r>
      <w:r w:rsidR="005008E4">
        <w:t xml:space="preserve">den </w:t>
      </w:r>
      <w:r w:rsidR="00B929D9">
        <w:t xml:space="preserve">Interessen </w:t>
      </w:r>
      <w:r w:rsidR="000D3BB8">
        <w:t xml:space="preserve">des Individuums dienen und nicht zur Abwehr ebenfalls bestehender Informationsansprüche </w:t>
      </w:r>
      <w:r w:rsidR="005008E4">
        <w:t>missbraucht werden</w:t>
      </w:r>
      <w:r w:rsidR="000D3BB8">
        <w:t xml:space="preserve">. </w:t>
      </w:r>
      <w:r w:rsidR="001C473B">
        <w:t xml:space="preserve">– </w:t>
      </w:r>
      <w:r w:rsidR="000D3BB8">
        <w:t xml:space="preserve">Hier wird Datenschutz </w:t>
      </w:r>
      <w:r w:rsidR="00EE4FF2">
        <w:t>ein Argument des Verarbeiters und damit sinn</w:t>
      </w:r>
      <w:r w:rsidR="000D3BB8">
        <w:t>verkehrt.</w:t>
      </w:r>
    </w:p>
    <w:p w14:paraId="6089649C" w14:textId="77777777" w:rsidR="00614A05" w:rsidRPr="001818F9" w:rsidRDefault="3C8091D4" w:rsidP="00302F30">
      <w:pPr>
        <w:pStyle w:val="berschrift5"/>
      </w:pPr>
      <w:bookmarkStart w:id="44" w:name="_Toc469776768"/>
      <w:bookmarkStart w:id="45" w:name="_Toc471812201"/>
      <w:bookmarkStart w:id="46" w:name="_Toc471818768"/>
      <w:bookmarkStart w:id="47" w:name="_Toc471826448"/>
      <w:bookmarkStart w:id="48" w:name="_Toc471828049"/>
      <w:bookmarkStart w:id="49" w:name="_Toc471829407"/>
      <w:bookmarkStart w:id="50" w:name="_Toc512241277"/>
      <w:r>
        <w:t>(</w:t>
      </w:r>
      <w:r w:rsidR="003601F8">
        <w:t>Verfassungsr</w:t>
      </w:r>
      <w:r>
        <w:t>echts-)Gründe für den Datenschutz</w:t>
      </w:r>
      <w:bookmarkEnd w:id="44"/>
      <w:bookmarkEnd w:id="45"/>
      <w:bookmarkEnd w:id="46"/>
      <w:bookmarkEnd w:id="47"/>
      <w:bookmarkEnd w:id="48"/>
      <w:bookmarkEnd w:id="49"/>
      <w:bookmarkEnd w:id="50"/>
    </w:p>
    <w:p w14:paraId="51A77B52" w14:textId="2ED78D0F" w:rsidR="00FA7149" w:rsidRDefault="000B5516" w:rsidP="00C77EC6">
      <w:r>
        <w:t xml:space="preserve">Wenn man von etwas nichts weiß, dann macht es einen auch nicht heiß. </w:t>
      </w:r>
      <w:r w:rsidR="00A677A4">
        <w:t xml:space="preserve">– </w:t>
      </w:r>
      <w:r w:rsidR="00A24EAE">
        <w:t>N</w:t>
      </w:r>
      <w:r w:rsidR="00777A8E">
        <w:t xml:space="preserve">otwendige </w:t>
      </w:r>
      <w:r>
        <w:t xml:space="preserve">Voraussetzung für </w:t>
      </w:r>
      <w:r w:rsidR="001B688A">
        <w:t xml:space="preserve">aufgeklärtes </w:t>
      </w:r>
      <w:r>
        <w:t xml:space="preserve">Handeln im Bereich </w:t>
      </w:r>
      <w:r w:rsidR="00BD111C">
        <w:t>moderner Datenverarbeitung</w:t>
      </w:r>
      <w:r>
        <w:t xml:space="preserve"> ist, dass </w:t>
      </w:r>
      <w:r w:rsidR="001F30F4">
        <w:t>die</w:t>
      </w:r>
      <w:r>
        <w:t xml:space="preserve"> Betroffene</w:t>
      </w:r>
      <w:r w:rsidR="001F30F4">
        <w:t>n</w:t>
      </w:r>
      <w:r>
        <w:t xml:space="preserve"> die informationellen Zugriffe oder die entsprechende Verarbeitung erkennen </w:t>
      </w:r>
      <w:r w:rsidR="001F30F4">
        <w:t>können</w:t>
      </w:r>
      <w:r w:rsidR="00990B76">
        <w:t>.</w:t>
      </w:r>
    </w:p>
    <w:p w14:paraId="58A20918" w14:textId="216C89D2" w:rsidR="005D536A" w:rsidRDefault="00911C40" w:rsidP="00C77EC6">
      <w:r>
        <w:t>Das Betroff</w:t>
      </w:r>
      <w:r w:rsidR="00302F30">
        <w:t>e</w:t>
      </w:r>
      <w:r>
        <w:t>nenleitbild des Datenschutzrechts wei</w:t>
      </w:r>
      <w:r w:rsidR="00302F30">
        <w:t>s</w:t>
      </w:r>
      <w:r>
        <w:t>t viele Parallelen zum Verbraucherschutz auf. Ausgangspunkt ist ein strukturelles Informationsungleichgewicht</w:t>
      </w:r>
      <w:r w:rsidR="008C2610">
        <w:t xml:space="preserve"> </w:t>
      </w:r>
      <w:r>
        <w:t>sowie der potentielle „</w:t>
      </w:r>
      <w:r w:rsidRPr="0033336C">
        <w:rPr>
          <w:lang w:val="en-GB"/>
        </w:rPr>
        <w:t>information overload</w:t>
      </w:r>
      <w:r>
        <w:t xml:space="preserve">“. Der Betroffene wird </w:t>
      </w:r>
      <w:r w:rsidR="00ED2581">
        <w:t>als grundsätzlich</w:t>
      </w:r>
      <w:r w:rsidR="00AD66F2">
        <w:t xml:space="preserve"> schutzbedürftig angesehen, da er </w:t>
      </w:r>
      <w:r w:rsidR="008F7F4A">
        <w:t xml:space="preserve">der </w:t>
      </w:r>
      <w:r w:rsidR="00AD66F2" w:rsidRPr="00830FB9">
        <w:t xml:space="preserve">oben </w:t>
      </w:r>
      <w:r w:rsidR="008D2310" w:rsidRPr="00830FB9">
        <w:t>(1.)</w:t>
      </w:r>
      <w:r w:rsidR="008D2310">
        <w:t xml:space="preserve"> </w:t>
      </w:r>
      <w:r w:rsidR="00AD66F2">
        <w:t>beschriebene</w:t>
      </w:r>
      <w:r w:rsidR="00A5339C">
        <w:t>n</w:t>
      </w:r>
      <w:r w:rsidR="00AD66F2">
        <w:t xml:space="preserve"> rationale</w:t>
      </w:r>
      <w:r w:rsidR="0075203C">
        <w:t>n</w:t>
      </w:r>
      <w:r w:rsidR="00AD66F2">
        <w:t xml:space="preserve"> Apathie unterliegt.</w:t>
      </w:r>
      <w:r w:rsidR="008C2610">
        <w:t xml:space="preserve"> Dabei beschränkt sich de</w:t>
      </w:r>
      <w:r w:rsidR="001B688A">
        <w:t>r</w:t>
      </w:r>
      <w:r w:rsidR="008C2610">
        <w:t xml:space="preserve"> Schutz des Datenschutzrechtes nicht nur auf das Verhältnis zwischen </w:t>
      </w:r>
      <w:r w:rsidR="001B688A">
        <w:t xml:space="preserve">Individuum </w:t>
      </w:r>
      <w:r w:rsidR="008C2610">
        <w:t>und Staat, sondern sol</w:t>
      </w:r>
      <w:r w:rsidR="00E13CDE">
        <w:t>l dem Betroffenen insbesondere –</w:t>
      </w:r>
      <w:r w:rsidR="008C2610">
        <w:t xml:space="preserve"> wie auch der Verbraucherschutz – Rechte gegenüber Privatunternehmen einräumen. </w:t>
      </w:r>
    </w:p>
    <w:p w14:paraId="251F0AE5" w14:textId="47BEC9FD" w:rsidR="00882844" w:rsidRDefault="00882844" w:rsidP="00121690">
      <w:pPr>
        <w:pStyle w:val="berschrift6"/>
      </w:pPr>
      <w:bookmarkStart w:id="51" w:name="_Toc469776769"/>
      <w:bookmarkStart w:id="52" w:name="_Toc471812202"/>
      <w:bookmarkStart w:id="53" w:name="_Toc471818769"/>
      <w:bookmarkStart w:id="54" w:name="_Toc471826449"/>
      <w:bookmarkStart w:id="55" w:name="_Toc471828050"/>
      <w:bookmarkStart w:id="56" w:name="_Toc471829408"/>
      <w:bookmarkStart w:id="57" w:name="_Toc512241278"/>
      <w:r>
        <w:t>„Informationelle Selbstbestimmung“</w:t>
      </w:r>
      <w:bookmarkEnd w:id="51"/>
      <w:r w:rsidR="008A7137">
        <w:t xml:space="preserve"> als Grundrecht</w:t>
      </w:r>
      <w:bookmarkEnd w:id="52"/>
      <w:bookmarkEnd w:id="53"/>
      <w:bookmarkEnd w:id="54"/>
      <w:bookmarkEnd w:id="55"/>
      <w:bookmarkEnd w:id="56"/>
      <w:bookmarkEnd w:id="57"/>
    </w:p>
    <w:p w14:paraId="0DD25928" w14:textId="5BEFFEDA" w:rsidR="007674D8" w:rsidRPr="000A2F86" w:rsidRDefault="007674D8" w:rsidP="00B42108">
      <w:pPr>
        <w:pStyle w:val="Text"/>
        <w:ind w:firstLine="0"/>
        <w:jc w:val="left"/>
      </w:pPr>
      <w:proofErr w:type="spellStart"/>
      <w:r w:rsidRPr="00243A83">
        <w:rPr>
          <w:rStyle w:val="Hyperlink"/>
          <w:i/>
          <w:color w:val="auto"/>
          <w:sz w:val="20"/>
          <w:szCs w:val="20"/>
          <w:u w:val="none"/>
        </w:rPr>
        <w:t>Franzius</w:t>
      </w:r>
      <w:proofErr w:type="spellEnd"/>
      <w:r w:rsidRPr="000A2F86">
        <w:t>, Das Recht auf informationelle Selbstbestimmung, ZJS [Zeitschrift für das juristische Studium] 2015, S. 259 ff. abrufbar unter: http://</w:t>
      </w:r>
      <w:r w:rsidR="000842C1" w:rsidRPr="000842C1">
        <w:t>t1p.de/6bx7</w:t>
      </w:r>
      <w:r w:rsidR="000842C1">
        <w:t xml:space="preserve"> [ZJS, kostenfrei]</w:t>
      </w:r>
      <w:r w:rsidR="0054657F">
        <w:t>.</w:t>
      </w:r>
    </w:p>
    <w:p w14:paraId="463E125A" w14:textId="2FEFD902" w:rsidR="005D536A" w:rsidRDefault="00635D2C" w:rsidP="00AD7BA6">
      <w:r>
        <w:t>Das Datenschutzrecht will</w:t>
      </w:r>
      <w:r w:rsidR="00B65F54">
        <w:t xml:space="preserve"> </w:t>
      </w:r>
      <w:r>
        <w:t>den Betroffenen zunächst e</w:t>
      </w:r>
      <w:r w:rsidR="00302F30">
        <w:t xml:space="preserve">inmal überhaupt in den Stand </w:t>
      </w:r>
      <w:r w:rsidR="005008E4">
        <w:t>ver</w:t>
      </w:r>
      <w:r w:rsidR="00302F30">
        <w:t>setz</w:t>
      </w:r>
      <w:r>
        <w:t>en, seine informationellen Interessen und Bela</w:t>
      </w:r>
      <w:r w:rsidR="00AC1BF6">
        <w:t>n</w:t>
      </w:r>
      <w:r>
        <w:t>ge wahrzunehmen. Da informationelle Eingriffe nicht fühlbar sind und sich – wenn überhaupt – erst mit Zeitversatz bemerkbar machen, ist es eine Notwendigkeit, dass der Betroffene über die Verarbeitung seiner Daten informiert und orientiert ist</w:t>
      </w:r>
      <w:r w:rsidR="00AC1BF6">
        <w:t>.</w:t>
      </w:r>
      <w:r w:rsidR="00911C40">
        <w:t xml:space="preserve"> </w:t>
      </w:r>
    </w:p>
    <w:p w14:paraId="22BA1A55" w14:textId="5CC62936" w:rsidR="005D536A" w:rsidRDefault="00911C40" w:rsidP="00C77EC6">
      <w:r>
        <w:t xml:space="preserve">Zwar wird als Leitbild des Datenschutzes häufig die Selbstbestimmung des Individuums angeführt, was bezüglich der Einwilligungsmöglichkeiten des Betroffenen auch nicht von der </w:t>
      </w:r>
      <w:r>
        <w:lastRenderedPageBreak/>
        <w:t>Hand zu weisen ist. Andererseits zeichnet sich die gewählte Regelungsmethod</w:t>
      </w:r>
      <w:r w:rsidR="00CC7C04">
        <w:t>e</w:t>
      </w:r>
      <w:r>
        <w:t xml:space="preserve"> eines Verbots der Verarbeitung personenbezogener Daten mit Erlaubnisvorbehalt aber stark dadurch aus, dass</w:t>
      </w:r>
      <w:r w:rsidR="008F434A">
        <w:t xml:space="preserve"> hier vor allem </w:t>
      </w:r>
      <w:proofErr w:type="gramStart"/>
      <w:r w:rsidR="008F434A">
        <w:t>Dritten</w:t>
      </w:r>
      <w:proofErr w:type="gramEnd"/>
      <w:r w:rsidR="008F434A">
        <w:t xml:space="preserve"> </w:t>
      </w:r>
      <w:r w:rsidR="00E34813">
        <w:t xml:space="preserve">Grenzen </w:t>
      </w:r>
      <w:r w:rsidR="008F434A">
        <w:t>für die Verarbeitung gesetzt werden. Freiheit und Freiraum zur informationellen Selbstbestimmung soll zunächst einmal durch diese „Fremdbeschränkung“ geschaffen werden</w:t>
      </w:r>
      <w:r w:rsidR="000D018C">
        <w:t xml:space="preserve"> (zu diesem Konzept </w:t>
      </w:r>
      <w:r w:rsidR="000D018C" w:rsidRPr="000D018C">
        <w:t xml:space="preserve">v. </w:t>
      </w:r>
      <w:proofErr w:type="spellStart"/>
      <w:r w:rsidR="000D018C" w:rsidRPr="000D018C">
        <w:t>Lewinski</w:t>
      </w:r>
      <w:proofErr w:type="spellEnd"/>
      <w:r w:rsidR="000D018C" w:rsidRPr="000D018C">
        <w:t xml:space="preserve">, </w:t>
      </w:r>
      <w:r w:rsidR="00DD3680">
        <w:t>„</w:t>
      </w:r>
      <w:r w:rsidR="000D018C" w:rsidRPr="000D018C">
        <w:t>Die Matrix des Datenschutzes</w:t>
      </w:r>
      <w:r w:rsidR="00DD3680">
        <w:t>“</w:t>
      </w:r>
      <w:r w:rsidR="000D018C" w:rsidRPr="000D018C">
        <w:t xml:space="preserve">, </w:t>
      </w:r>
      <w:r w:rsidR="000842C1">
        <w:t>Mohr Siebeck</w:t>
      </w:r>
      <w:r w:rsidR="000D018C">
        <w:t xml:space="preserve"> </w:t>
      </w:r>
      <w:r w:rsidR="000D018C" w:rsidRPr="000D018C">
        <w:t>2014, S. 46</w:t>
      </w:r>
      <w:r w:rsidR="000D018C">
        <w:t>)</w:t>
      </w:r>
      <w:r w:rsidR="008F434A">
        <w:t>.</w:t>
      </w:r>
    </w:p>
    <w:p w14:paraId="7BB7DF17" w14:textId="43AD2B85" w:rsidR="00DE2C68" w:rsidRDefault="00B65F54" w:rsidP="00C77EC6">
      <w:r w:rsidRPr="00B65F54">
        <w:t xml:space="preserve">Ausgangspunkt </w:t>
      </w:r>
      <w:r w:rsidR="005D6D0F">
        <w:t>war für</w:t>
      </w:r>
      <w:r w:rsidR="005D6D0F" w:rsidRPr="00B65F54">
        <w:t xml:space="preserve"> </w:t>
      </w:r>
      <w:r w:rsidRPr="00B65F54">
        <w:t xml:space="preserve">den Datenschutz </w:t>
      </w:r>
      <w:r w:rsidR="005D6D0F">
        <w:t xml:space="preserve">in Deutschland </w:t>
      </w:r>
      <w:r w:rsidRPr="00B65F54">
        <w:t>aus rechtlicher Sicht</w:t>
      </w:r>
      <w:r w:rsidR="00F05801">
        <w:t xml:space="preserve"> die Idee der </w:t>
      </w:r>
      <w:r w:rsidR="00020CC0">
        <w:t>„</w:t>
      </w:r>
      <w:r w:rsidR="00C4139C">
        <w:t>I</w:t>
      </w:r>
      <w:r w:rsidR="005D6C1A">
        <w:t xml:space="preserve">nformationellen </w:t>
      </w:r>
      <w:r w:rsidR="00F05801">
        <w:t>Selbstbestimmung</w:t>
      </w:r>
      <w:r w:rsidR="005D6C1A">
        <w:t>“</w:t>
      </w:r>
      <w:r w:rsidR="00F05801">
        <w:t xml:space="preserve"> über die pers</w:t>
      </w:r>
      <w:r w:rsidR="0032109D">
        <w:t>o</w:t>
      </w:r>
      <w:r w:rsidR="00F05801">
        <w:t>n</w:t>
      </w:r>
      <w:r w:rsidR="0032109D">
        <w:t>enbezog</w:t>
      </w:r>
      <w:r w:rsidR="00F05801">
        <w:t>en</w:t>
      </w:r>
      <w:r w:rsidR="00AE3E92">
        <w:t>en</w:t>
      </w:r>
      <w:r w:rsidR="00F05801">
        <w:t xml:space="preserve"> Daten</w:t>
      </w:r>
      <w:r w:rsidRPr="00B65F54">
        <w:t xml:space="preserve"> </w:t>
      </w:r>
      <w:r w:rsidR="0032109D">
        <w:t xml:space="preserve">aus dem </w:t>
      </w:r>
      <w:r w:rsidRPr="00B65F54">
        <w:t>Volkszählungsurteil des Bundesverfassungsgerichts</w:t>
      </w:r>
      <w:r w:rsidR="0032109D">
        <w:t xml:space="preserve"> (Amtliche Sammlung [BVerfGE], Bd.</w:t>
      </w:r>
      <w:r w:rsidR="007503B1">
        <w:t xml:space="preserve"> </w:t>
      </w:r>
      <w:r w:rsidR="0032109D">
        <w:t>65, S. 1 ff.)</w:t>
      </w:r>
      <w:r w:rsidRPr="00B65F54">
        <w:t xml:space="preserve">. Dieses leitete aus dem allgemeinen Persönlichkeitsrecht ein </w:t>
      </w:r>
      <w:r w:rsidR="007A3A55">
        <w:t>„</w:t>
      </w:r>
      <w:r w:rsidRPr="00B65F54">
        <w:t>Recht auf inform</w:t>
      </w:r>
      <w:r w:rsidR="006E37BE">
        <w:t>ationelle Selbstbestimmung</w:t>
      </w:r>
      <w:r w:rsidR="007A3A55">
        <w:t>“</w:t>
      </w:r>
      <w:r w:rsidR="006E37BE">
        <w:t xml:space="preserve"> her</w:t>
      </w:r>
      <w:r w:rsidR="00EE0887">
        <w:t>.</w:t>
      </w:r>
      <w:r w:rsidR="006E37BE">
        <w:t xml:space="preserve"> </w:t>
      </w:r>
      <w:r w:rsidRPr="00B65F54">
        <w:t>Der Einzelne solle selber darüber bestimmen können, wer sei</w:t>
      </w:r>
      <w:r w:rsidR="0070316F">
        <w:t>ne Daten erhält und verarbeitet</w:t>
      </w:r>
      <w:r w:rsidR="006E37BE">
        <w:t xml:space="preserve"> und gegen die unbegrenzte Erhebung, Speicherung, Verwendung und Weitergabe seiner persönlichen Daten geschützt werden.</w:t>
      </w:r>
      <w:r w:rsidR="00A77D4B">
        <w:t xml:space="preserve"> In den Schutzbereich der informationellen Selbstbestimmung fallen dabei alle Formen der </w:t>
      </w:r>
      <w:r w:rsidR="00DD3680">
        <w:t xml:space="preserve">Verarbeitung </w:t>
      </w:r>
      <w:r w:rsidR="00A77D4B">
        <w:t>personenbezogener Daten</w:t>
      </w:r>
      <w:r w:rsidR="00FA7149">
        <w:t>.</w:t>
      </w:r>
      <w:r w:rsidR="00102024" w:rsidDel="00102024">
        <w:rPr>
          <w:rStyle w:val="Funotenzeichen"/>
        </w:rPr>
        <w:t xml:space="preserve"> </w:t>
      </w:r>
    </w:p>
    <w:p w14:paraId="77261E0B" w14:textId="2DFAEB35" w:rsidR="00CF59A5" w:rsidRDefault="00CF59A5" w:rsidP="00C77EC6">
      <w:r>
        <w:t>Die Europäisierung des Datenschutzrechts hat zur Folge, dass</w:t>
      </w:r>
      <w:r w:rsidR="00581C3F">
        <w:t xml:space="preserve"> das Recht auf informationelle Selbstbestimmung</w:t>
      </w:r>
      <w:r w:rsidR="004E7C34">
        <w:t xml:space="preserve"> </w:t>
      </w:r>
      <w:r w:rsidR="00020CC0">
        <w:t xml:space="preserve">nun </w:t>
      </w:r>
      <w:r w:rsidR="004E7C34">
        <w:t xml:space="preserve">durch </w:t>
      </w:r>
      <w:r w:rsidR="00020CC0">
        <w:t xml:space="preserve">das Datenschutzgrundrecht aus </w:t>
      </w:r>
      <w:r w:rsidR="004E7C34">
        <w:t>Art. 8 Abs. 1 der Charta der Europäischen Grundrechte</w:t>
      </w:r>
      <w:r w:rsidR="00581C3F">
        <w:t xml:space="preserve"> (EU</w:t>
      </w:r>
      <w:r w:rsidR="00CB2F41">
        <w:t>-</w:t>
      </w:r>
      <w:proofErr w:type="spellStart"/>
      <w:r w:rsidR="00CB2F41">
        <w:t>GRC</w:t>
      </w:r>
      <w:r w:rsidR="00581C3F">
        <w:t>h</w:t>
      </w:r>
      <w:proofErr w:type="spellEnd"/>
      <w:r w:rsidR="00581C3F">
        <w:t>)</w:t>
      </w:r>
      <w:r w:rsidR="004E7C34">
        <w:t xml:space="preserve"> teilweise verdrängt wird. Ob sich hieraus wesentliche Änderungen ergeben, wird unterschiedlich gesehen. Jedenfalls ist nunmehr </w:t>
      </w:r>
      <w:r>
        <w:t>auch der freie Verkehr personenbezogener Daten als Schutzziel</w:t>
      </w:r>
      <w:r w:rsidR="004E7C34">
        <w:t xml:space="preserve"> ausdrücklich anerkannt (Art. 1 Abs. 1 </w:t>
      </w:r>
      <w:proofErr w:type="spellStart"/>
      <w:r w:rsidR="004E7C34">
        <w:t>a.E</w:t>
      </w:r>
      <w:proofErr w:type="spellEnd"/>
      <w:r w:rsidR="004E7C34">
        <w:t>. DSGVO), womit der unternehmerischen Freiheit der Verarbeiter</w:t>
      </w:r>
      <w:r w:rsidR="00CB2F41">
        <w:t xml:space="preserve"> aus Art. 15 EU-</w:t>
      </w:r>
      <w:proofErr w:type="spellStart"/>
      <w:r w:rsidR="00CB2F41">
        <w:t>GR</w:t>
      </w:r>
      <w:r w:rsidR="004E7C34">
        <w:t>Ch</w:t>
      </w:r>
      <w:proofErr w:type="spellEnd"/>
      <w:r w:rsidR="004E7C34">
        <w:t xml:space="preserve"> Rechnung getragen wird</w:t>
      </w:r>
      <w:r>
        <w:t>.</w:t>
      </w:r>
    </w:p>
    <w:p w14:paraId="46182066" w14:textId="77777777" w:rsidR="003D5E32" w:rsidRDefault="003D5E32" w:rsidP="003D5E32">
      <w:pPr>
        <w:pStyle w:val="berschrift6"/>
      </w:pPr>
      <w:bookmarkStart w:id="58" w:name="_Toc469776771"/>
      <w:bookmarkStart w:id="59" w:name="_Toc471812203"/>
      <w:bookmarkStart w:id="60" w:name="_Toc471818770"/>
      <w:bookmarkStart w:id="61" w:name="_Toc471826450"/>
      <w:bookmarkStart w:id="62" w:name="_Toc471828051"/>
      <w:bookmarkStart w:id="63" w:name="_Toc471829409"/>
      <w:bookmarkStart w:id="64" w:name="_Toc512241279"/>
      <w:bookmarkStart w:id="65" w:name="_Toc469776770"/>
      <w:r>
        <w:t>Einwilligung</w:t>
      </w:r>
      <w:bookmarkEnd w:id="58"/>
      <w:bookmarkEnd w:id="59"/>
      <w:bookmarkEnd w:id="60"/>
      <w:bookmarkEnd w:id="61"/>
      <w:bookmarkEnd w:id="62"/>
      <w:bookmarkEnd w:id="63"/>
      <w:bookmarkEnd w:id="64"/>
    </w:p>
    <w:p w14:paraId="269FB050" w14:textId="45FC06AB" w:rsidR="003D5E32" w:rsidRDefault="003D5E32" w:rsidP="003D5E32">
      <w:r>
        <w:t xml:space="preserve">Die Einwilligung in die Verarbeitung von Daten gibt dem Einzelnen die Möglichkeit, eine Verarbeitung seiner Daten zu gestatten. Hier geht es vorrangig um die eigentliche Ausübung </w:t>
      </w:r>
      <w:r w:rsidR="00CD7083">
        <w:t>informationell</w:t>
      </w:r>
      <w:r>
        <w:t xml:space="preserve">er Freiheit und nicht primär um die Kontrolle der Datenverarbeitung durch andere. Damit hier auch nur bewusste Entscheidungen berücksichtigt werden, werden an die Freiwilligkeit und die Eindeutigkeit der Einwilligung hohe Anforderungen gestellt. Gleichzeitig stellt die Einwilligung aus </w:t>
      </w:r>
      <w:proofErr w:type="spellStart"/>
      <w:r w:rsidR="00CD7083">
        <w:t>Verarbeiter</w:t>
      </w:r>
      <w:r>
        <w:t>sicht</w:t>
      </w:r>
      <w:proofErr w:type="spellEnd"/>
      <w:r>
        <w:t xml:space="preserve"> in der Praxis aber das flexibelste</w:t>
      </w:r>
      <w:r w:rsidR="00113855">
        <w:t xml:space="preserve"> </w:t>
      </w:r>
      <w:r>
        <w:t xml:space="preserve">Werkzeug für die rechtmäßige Verarbeitung von Daten außerhalb der </w:t>
      </w:r>
      <w:r w:rsidR="00AF1066">
        <w:t>(</w:t>
      </w:r>
      <w:r>
        <w:t>beschränkten</w:t>
      </w:r>
      <w:r w:rsidR="00AF1066">
        <w:t>)</w:t>
      </w:r>
      <w:r>
        <w:t xml:space="preserve"> gesetzlichen Erlaubnisnormen dar.</w:t>
      </w:r>
      <w:r w:rsidR="008B754B">
        <w:t xml:space="preserve"> </w:t>
      </w:r>
      <w:r w:rsidR="004E7C34">
        <w:t>Zwar</w:t>
      </w:r>
      <w:r w:rsidR="008B754B">
        <w:t xml:space="preserve"> </w:t>
      </w:r>
      <w:r w:rsidR="004E7C34">
        <w:t>ist</w:t>
      </w:r>
      <w:r w:rsidR="008B754B">
        <w:t xml:space="preserve"> eine Rechtfertigung einer Verwendung zu Werbezwecken über ein </w:t>
      </w:r>
      <w:r w:rsidR="004E7C34">
        <w:t>berechtigtes</w:t>
      </w:r>
      <w:r w:rsidR="008B754B">
        <w:t xml:space="preserve"> Interesse des Verarbeiters möglich</w:t>
      </w:r>
      <w:r w:rsidR="004E7C34">
        <w:t>, aber</w:t>
      </w:r>
      <w:r w:rsidR="008B754B">
        <w:t xml:space="preserve"> </w:t>
      </w:r>
      <w:r w:rsidR="00A67ACC">
        <w:t>auch die</w:t>
      </w:r>
      <w:r w:rsidR="005008E4">
        <w:t>ser</w:t>
      </w:r>
      <w:r w:rsidR="00A67ACC">
        <w:t xml:space="preserve"> </w:t>
      </w:r>
      <w:r w:rsidR="005008E4">
        <w:t xml:space="preserve">Erlaubnistatbestand </w:t>
      </w:r>
      <w:r w:rsidR="00A67ACC">
        <w:t>hat</w:t>
      </w:r>
      <w:r w:rsidR="004E7C34">
        <w:t xml:space="preserve"> </w:t>
      </w:r>
      <w:r w:rsidR="008B754B">
        <w:t>bei</w:t>
      </w:r>
      <w:r w:rsidR="00CB2F41">
        <w:t xml:space="preserve"> der Verarbeitung von besonderen</w:t>
      </w:r>
      <w:r w:rsidR="008B754B">
        <w:t xml:space="preserve"> personenbezogenen Daten</w:t>
      </w:r>
      <w:r w:rsidR="00A67ACC">
        <w:t xml:space="preserve"> eine Grenze</w:t>
      </w:r>
      <w:r w:rsidR="004E7C34">
        <w:t>, w</w:t>
      </w:r>
      <w:r w:rsidR="00A67ACC">
        <w:t>eil</w:t>
      </w:r>
      <w:r w:rsidR="00CB2F41">
        <w:t xml:space="preserve"> </w:t>
      </w:r>
      <w:r w:rsidR="008B754B">
        <w:t>d</w:t>
      </w:r>
      <w:r w:rsidR="004E7C34">
        <w:t>i</w:t>
      </w:r>
      <w:r w:rsidR="008B754B">
        <w:t>e Einwilligung</w:t>
      </w:r>
      <w:r w:rsidR="00CB2F41">
        <w:t xml:space="preserve"> in </w:t>
      </w:r>
      <w:r w:rsidR="005008E4">
        <w:t xml:space="preserve">diesem </w:t>
      </w:r>
      <w:r w:rsidR="00CB2F41">
        <w:t>Fall</w:t>
      </w:r>
      <w:r w:rsidR="00A67ACC">
        <w:t xml:space="preserve"> zwingend einzuholen ist</w:t>
      </w:r>
      <w:r w:rsidR="004E7C34">
        <w:t>.</w:t>
      </w:r>
    </w:p>
    <w:p w14:paraId="1B8E646B" w14:textId="6BA1F7DA" w:rsidR="00882844" w:rsidRDefault="00267626" w:rsidP="00121690">
      <w:pPr>
        <w:pStyle w:val="berschrift6"/>
      </w:pPr>
      <w:bookmarkStart w:id="66" w:name="_Toc471812204"/>
      <w:bookmarkStart w:id="67" w:name="_Toc471818771"/>
      <w:bookmarkStart w:id="68" w:name="_Toc471826451"/>
      <w:bookmarkStart w:id="69" w:name="_Toc471828053"/>
      <w:bookmarkStart w:id="70" w:name="_Toc471829410"/>
      <w:bookmarkStart w:id="71" w:name="_Toc512241280"/>
      <w:r>
        <w:t>Gesetzliche</w:t>
      </w:r>
      <w:r w:rsidR="00882844">
        <w:t xml:space="preserve"> Erlaubnistatbestände</w:t>
      </w:r>
      <w:bookmarkEnd w:id="65"/>
      <w:bookmarkEnd w:id="66"/>
      <w:bookmarkEnd w:id="67"/>
      <w:bookmarkEnd w:id="68"/>
      <w:bookmarkEnd w:id="69"/>
      <w:bookmarkEnd w:id="70"/>
      <w:bookmarkEnd w:id="71"/>
    </w:p>
    <w:p w14:paraId="7D19C2BF" w14:textId="295AE36A" w:rsidR="005D6D0F" w:rsidRDefault="005D6D0F" w:rsidP="00C77EC6">
      <w:r>
        <w:t xml:space="preserve">Im Interesse </w:t>
      </w:r>
      <w:r w:rsidR="008A7137">
        <w:t xml:space="preserve">der Allgemeinheit und Dritter </w:t>
      </w:r>
      <w:r>
        <w:t xml:space="preserve">hat das </w:t>
      </w:r>
      <w:r w:rsidR="00102024">
        <w:t>Bundesverfassungsgericht</w:t>
      </w:r>
      <w:r>
        <w:t xml:space="preserve"> schon zum Zeitpunkt der </w:t>
      </w:r>
      <w:r w:rsidR="00501F84">
        <w:t>Volkszählungs-</w:t>
      </w:r>
      <w:r>
        <w:t xml:space="preserve">Entscheidung im Jahre 1983 Ausnahmen </w:t>
      </w:r>
      <w:r w:rsidR="005008E4">
        <w:t xml:space="preserve">vom </w:t>
      </w:r>
      <w:r>
        <w:t xml:space="preserve">generellen Verbot </w:t>
      </w:r>
      <w:r w:rsidR="00887B45">
        <w:t xml:space="preserve">der Datenverarbeitung </w:t>
      </w:r>
      <w:r>
        <w:t xml:space="preserve">zugelassen und festgestellt, dass dieses Recht des Einzelnen </w:t>
      </w:r>
      <w:r w:rsidR="00102024">
        <w:t xml:space="preserve">nicht </w:t>
      </w:r>
      <w:r>
        <w:t xml:space="preserve">absolut gelten kann. In Anbetracht der technischen und gesellschaftlichen Realität einer allgegenwärtigen Datenverarbeitung scheint dies auch kaum anders denkbar. </w:t>
      </w:r>
      <w:r w:rsidR="00F659B4">
        <w:t>So ist es alternativ zur Einwilligung erlaubt, dass d</w:t>
      </w:r>
      <w:r>
        <w:t xml:space="preserve">erjenige, der personenbezogene Daten </w:t>
      </w:r>
      <w:r w:rsidR="00AA2F58">
        <w:t>verarbeitet</w:t>
      </w:r>
      <w:r>
        <w:t xml:space="preserve">, sich </w:t>
      </w:r>
      <w:r w:rsidR="00F659B4">
        <w:t>hier</w:t>
      </w:r>
      <w:r>
        <w:t xml:space="preserve">für </w:t>
      </w:r>
      <w:r w:rsidR="00F659B4">
        <w:t xml:space="preserve">auch </w:t>
      </w:r>
      <w:r>
        <w:t>auf eine gesetzliche Grundlage stützen</w:t>
      </w:r>
      <w:r w:rsidR="00F659B4">
        <w:t xml:space="preserve"> kann</w:t>
      </w:r>
      <w:r>
        <w:t>. Die</w:t>
      </w:r>
      <w:r w:rsidR="006E5771">
        <w:t xml:space="preserve">sem Konzept </w:t>
      </w:r>
      <w:r w:rsidR="00212E03">
        <w:t xml:space="preserve">des „Verbots mit Erlaubnisvorbehalt“ </w:t>
      </w:r>
      <w:r w:rsidR="006E5771">
        <w:t>folgt auch die</w:t>
      </w:r>
      <w:r>
        <w:t xml:space="preserve"> </w:t>
      </w:r>
      <w:r w:rsidR="00E52B1E">
        <w:t>DSGVO</w:t>
      </w:r>
      <w:r w:rsidR="00CB2F41">
        <w:t xml:space="preserve"> </w:t>
      </w:r>
      <w:r w:rsidR="00A67ACC">
        <w:t>(vgl. Art. 6 DSGVO)</w:t>
      </w:r>
      <w:r w:rsidR="006E5771">
        <w:t>.</w:t>
      </w:r>
    </w:p>
    <w:p w14:paraId="6064AD9F" w14:textId="14684396" w:rsidR="005D6D0F" w:rsidRDefault="001323AE" w:rsidP="00121690">
      <w:pPr>
        <w:pStyle w:val="berschrift6"/>
      </w:pPr>
      <w:bookmarkStart w:id="72" w:name="_Toc469776772"/>
      <w:bookmarkStart w:id="73" w:name="_Toc471812205"/>
      <w:bookmarkStart w:id="74" w:name="_Toc471818772"/>
      <w:bookmarkStart w:id="75" w:name="_Toc471826452"/>
      <w:bookmarkStart w:id="76" w:name="_Toc471828054"/>
      <w:bookmarkStart w:id="77" w:name="_Toc471829411"/>
      <w:bookmarkStart w:id="78" w:name="_Toc512241281"/>
      <w:r>
        <w:lastRenderedPageBreak/>
        <w:t>Flankierende Informationspflichten</w:t>
      </w:r>
      <w:bookmarkEnd w:id="72"/>
      <w:bookmarkEnd w:id="73"/>
      <w:bookmarkEnd w:id="74"/>
      <w:bookmarkEnd w:id="75"/>
      <w:bookmarkEnd w:id="76"/>
      <w:bookmarkEnd w:id="77"/>
      <w:bookmarkEnd w:id="78"/>
    </w:p>
    <w:p w14:paraId="638F729E" w14:textId="67F7E313" w:rsidR="002C328C" w:rsidRDefault="009665EF" w:rsidP="00D34DA9">
      <w:r>
        <w:t xml:space="preserve">Unabhängig von dem Rechtsgrund für eine personenbezogene Datenverarbeitung – Einwilligung oder gesetzliche Gestattung – </w:t>
      </w:r>
      <w:r w:rsidR="005D3500">
        <w:t xml:space="preserve">setzt das Datenschutzrecht </w:t>
      </w:r>
      <w:r w:rsidR="005008E4">
        <w:t>zum</w:t>
      </w:r>
      <w:r w:rsidR="00EB022C">
        <w:t xml:space="preserve"> Schutz personenbezogener Daten </w:t>
      </w:r>
      <w:r w:rsidR="005D6D0F">
        <w:t xml:space="preserve">des Einzelnen </w:t>
      </w:r>
      <w:r w:rsidR="3C8091D4">
        <w:t xml:space="preserve">insbesondere bei den Informierungen an und will bestehende Wissensdefizite der Betroffenen verringern. Ohne Kenntnis davon, wer was über ihn weiß, </w:t>
      </w:r>
      <w:r w:rsidR="00E52B1E">
        <w:t>können Betroffene</w:t>
      </w:r>
      <w:r w:rsidR="00A5339C">
        <w:t xml:space="preserve"> ihre R</w:t>
      </w:r>
      <w:r w:rsidR="008750D2">
        <w:t>echte</w:t>
      </w:r>
      <w:r w:rsidR="3C8091D4">
        <w:t xml:space="preserve"> nicht wirksam geltend machen.</w:t>
      </w:r>
    </w:p>
    <w:p w14:paraId="7A420D7E" w14:textId="25861103" w:rsidR="002C328C" w:rsidRDefault="3C8091D4" w:rsidP="00D34DA9">
      <w:r>
        <w:t xml:space="preserve">Herkömmliche Mittel hierzu sind die Unterrichtung bei der Datenerhebung, die nachträgliche Benachrichtigung oder die Auskunft auf Verlangen des Betroffenen. Letztere setzt natürlich schon eine gewisse Kenntnis oder zumindest Vermutung über eine mögliche Datenverarbeitung voraus. </w:t>
      </w:r>
      <w:proofErr w:type="gramStart"/>
      <w:r>
        <w:t>Hinzu kommen</w:t>
      </w:r>
      <w:proofErr w:type="gramEnd"/>
      <w:r>
        <w:t xml:space="preserve"> vereinzelt Kennzeichnungspflichten und öffentliche Bekanntmachungen von Datenpannen.</w:t>
      </w:r>
    </w:p>
    <w:p w14:paraId="7CA5E84E" w14:textId="0A5B295C" w:rsidR="00A2285D" w:rsidRDefault="00D34DA9" w:rsidP="00A32B34">
      <w:r>
        <w:t xml:space="preserve">Eine </w:t>
      </w:r>
      <w:r w:rsidR="002C328C">
        <w:t>funktionierende Datenschutz</w:t>
      </w:r>
      <w:r>
        <w:t xml:space="preserve">strategie ist unter der neuen DSGVO </w:t>
      </w:r>
      <w:r w:rsidR="002C328C">
        <w:t xml:space="preserve">nun </w:t>
      </w:r>
      <w:r>
        <w:t>zur echten Rechtspflicht geworden</w:t>
      </w:r>
      <w:r w:rsidR="00F30B9E">
        <w:t xml:space="preserve"> (vgl. Art. 24 DSGVO)</w:t>
      </w:r>
      <w:r>
        <w:t>.</w:t>
      </w:r>
      <w:r w:rsidR="00A67ACC">
        <w:t xml:space="preserve"> Verantwortliche Stellen müssen nunmehr vor Beginn der Datenverarbeitung ein Verzeichnis mit Verarbeitungstätigkeiten anlegen (Art. 30 DSGVO). Darunter fallen</w:t>
      </w:r>
      <w:r w:rsidR="00F30B9E">
        <w:t xml:space="preserve"> auch</w:t>
      </w:r>
      <w:r w:rsidR="00A67ACC">
        <w:t xml:space="preserve"> Maßnahmen zur Datensicherheit. Zudem illustriert die Pflicht</w:t>
      </w:r>
      <w:r w:rsidR="000F584D">
        <w:t xml:space="preserve"> vor risikoreichen Verarbeitungstätigkeiten eine Datenschutzfolgenabschätzung durchzuführen, dass sich Verarbeiter ein konkretes Vorstellungsbild über den Datenschutz machen müssen. Letztlich bauen hierauf auch die Kommunikationspflichten der DSGVO auf.</w:t>
      </w:r>
      <w:r w:rsidR="00CB2F41">
        <w:t xml:space="preserve"> Diese erklären</w:t>
      </w:r>
      <w:r>
        <w:t xml:space="preserve"> die Transparenz der Verarbeitung</w:t>
      </w:r>
      <w:r w:rsidR="006A5936">
        <w:t xml:space="preserve"> (</w:t>
      </w:r>
      <w:r w:rsidR="006A5936" w:rsidRPr="006A5936">
        <w:t xml:space="preserve">Art. 5 Abs. 1 </w:t>
      </w:r>
      <w:proofErr w:type="spellStart"/>
      <w:r w:rsidR="006A5936" w:rsidRPr="006A5936">
        <w:t>lit</w:t>
      </w:r>
      <w:proofErr w:type="spellEnd"/>
      <w:r w:rsidR="006A5936" w:rsidRPr="006A5936">
        <w:t>. a DSGVO</w:t>
      </w:r>
      <w:r w:rsidR="005B531D">
        <w:t>;</w:t>
      </w:r>
      <w:r w:rsidR="006A5936" w:rsidRPr="006A5936">
        <w:t xml:space="preserve"> </w:t>
      </w:r>
      <w:proofErr w:type="spellStart"/>
      <w:r w:rsidR="006A5936" w:rsidRPr="006A5936">
        <w:t>ErwGr</w:t>
      </w:r>
      <w:proofErr w:type="spellEnd"/>
      <w:r w:rsidR="006A5936" w:rsidRPr="006A5936">
        <w:t>. 39, 58</w:t>
      </w:r>
      <w:r w:rsidR="005B531D">
        <w:t xml:space="preserve"> u.</w:t>
      </w:r>
      <w:r w:rsidR="006A5936" w:rsidRPr="006A5936">
        <w:t xml:space="preserve"> 78</w:t>
      </w:r>
      <w:r w:rsidR="006A5936">
        <w:t>)</w:t>
      </w:r>
      <w:r>
        <w:t xml:space="preserve"> und insbesondere </w:t>
      </w:r>
      <w:r w:rsidR="00CB2F41">
        <w:t>die Transparenz gegenüber den</w:t>
      </w:r>
      <w:r>
        <w:t xml:space="preserve"> Betroffenen</w:t>
      </w:r>
      <w:r w:rsidR="006A5936">
        <w:t xml:space="preserve"> (</w:t>
      </w:r>
      <w:r w:rsidR="006A5936" w:rsidRPr="006A5936">
        <w:t>Art. 12 DSGVO</w:t>
      </w:r>
      <w:r w:rsidR="006A5936">
        <w:t>)</w:t>
      </w:r>
      <w:r>
        <w:t xml:space="preserve"> </w:t>
      </w:r>
      <w:r w:rsidR="00A87166">
        <w:t xml:space="preserve">– auch bei Ausübung seiner </w:t>
      </w:r>
      <w:r w:rsidR="00020CC0">
        <w:t>Betroffenenr</w:t>
      </w:r>
      <w:r w:rsidR="00A87166">
        <w:t xml:space="preserve">echte gem. </w:t>
      </w:r>
      <w:r w:rsidR="00C36A88">
        <w:t xml:space="preserve">Art. </w:t>
      </w:r>
      <w:r w:rsidR="00A87166">
        <w:t xml:space="preserve">15 ff. DSGVO </w:t>
      </w:r>
      <w:r w:rsidR="00F514D2">
        <w:t>–</w:t>
      </w:r>
      <w:r w:rsidR="00A87166">
        <w:t xml:space="preserve"> </w:t>
      </w:r>
      <w:r>
        <w:t>zu Grund</w:t>
      </w:r>
      <w:r w:rsidR="006A5936">
        <w:t>pflichten</w:t>
      </w:r>
      <w:r w:rsidR="00CB2F41">
        <w:t xml:space="preserve"> für jede datenverarbeitende</w:t>
      </w:r>
      <w:r w:rsidR="006A5936">
        <w:t xml:space="preserve"> Stelle</w:t>
      </w:r>
      <w:r>
        <w:t xml:space="preserve">. Auch werden der </w:t>
      </w:r>
      <w:r w:rsidR="00BF3791">
        <w:t>Verantwortlichen Stelle</w:t>
      </w:r>
      <w:r>
        <w:t xml:space="preserve"> in Art. 5 Abs. 2 DSGVO umfangreiche Rechenschaftspflichten (</w:t>
      </w:r>
      <w:r w:rsidRPr="00EB022C">
        <w:t>engl.</w:t>
      </w:r>
      <w:r w:rsidR="005B531D">
        <w:t>:</w:t>
      </w:r>
      <w:r w:rsidRPr="00EB022C">
        <w:t xml:space="preserve"> </w:t>
      </w:r>
      <w:r w:rsidRPr="00A26852">
        <w:t>„</w:t>
      </w:r>
      <w:r w:rsidRPr="0063400F">
        <w:rPr>
          <w:lang w:val="en-GB"/>
        </w:rPr>
        <w:t>accountability</w:t>
      </w:r>
      <w:r w:rsidRPr="00EB022C">
        <w:t>“</w:t>
      </w:r>
      <w:r>
        <w:t>) über die Einhaltung der Verarbeitungs</w:t>
      </w:r>
      <w:r w:rsidR="00E17CD1">
        <w:t>- und Transparenzpflichten</w:t>
      </w:r>
      <w:r>
        <w:t xml:space="preserve"> auferlegt.</w:t>
      </w:r>
    </w:p>
    <w:p w14:paraId="10526AB7" w14:textId="0D1F680A" w:rsidR="00537582" w:rsidRDefault="003601F8" w:rsidP="00537582">
      <w:pPr>
        <w:pStyle w:val="berschrift5"/>
      </w:pPr>
      <w:bookmarkStart w:id="79" w:name="_Toc469742981"/>
      <w:bookmarkStart w:id="80" w:name="_Toc469752509"/>
      <w:bookmarkStart w:id="81" w:name="_Toc469753047"/>
      <w:bookmarkStart w:id="82" w:name="_Toc469753740"/>
      <w:bookmarkStart w:id="83" w:name="_Toc469776773"/>
      <w:bookmarkStart w:id="84" w:name="_Toc471812206"/>
      <w:bookmarkStart w:id="85" w:name="_Toc471818773"/>
      <w:bookmarkStart w:id="86" w:name="_Toc471826453"/>
      <w:bookmarkStart w:id="87" w:name="_Toc471828055"/>
      <w:bookmarkStart w:id="88" w:name="_Toc471829412"/>
      <w:bookmarkStart w:id="89" w:name="_Toc512241282"/>
      <w:bookmarkEnd w:id="79"/>
      <w:bookmarkEnd w:id="80"/>
      <w:bookmarkEnd w:id="81"/>
      <w:bookmarkEnd w:id="82"/>
      <w:r>
        <w:t>Datenschutzgesetze</w:t>
      </w:r>
      <w:bookmarkEnd w:id="83"/>
      <w:bookmarkEnd w:id="84"/>
      <w:bookmarkEnd w:id="85"/>
      <w:bookmarkEnd w:id="86"/>
      <w:bookmarkEnd w:id="87"/>
      <w:bookmarkEnd w:id="88"/>
      <w:bookmarkEnd w:id="89"/>
    </w:p>
    <w:p w14:paraId="33948F95" w14:textId="52F94F13" w:rsidR="00AA7C12" w:rsidRDefault="3C8091D4" w:rsidP="00537582">
      <w:pPr>
        <w:pStyle w:val="berschrift6"/>
      </w:pPr>
      <w:bookmarkStart w:id="90" w:name="_Toc469776774"/>
      <w:bookmarkStart w:id="91" w:name="_Toc471812207"/>
      <w:bookmarkStart w:id="92" w:name="_Toc471818774"/>
      <w:bookmarkStart w:id="93" w:name="_Toc471826454"/>
      <w:bookmarkStart w:id="94" w:name="_Toc471828056"/>
      <w:bookmarkStart w:id="95" w:name="_Toc471829413"/>
      <w:bookmarkStart w:id="96" w:name="_Toc512241283"/>
      <w:r>
        <w:t>D</w:t>
      </w:r>
      <w:r w:rsidR="003601F8">
        <w:t>ie</w:t>
      </w:r>
      <w:r>
        <w:t xml:space="preserve"> EU-D</w:t>
      </w:r>
      <w:r w:rsidR="003601F8">
        <w:t>atenschutz-</w:t>
      </w:r>
      <w:r>
        <w:t>G</w:t>
      </w:r>
      <w:r w:rsidR="003601F8">
        <w:t>rundverordnung</w:t>
      </w:r>
      <w:bookmarkEnd w:id="90"/>
      <w:bookmarkEnd w:id="91"/>
      <w:bookmarkEnd w:id="92"/>
      <w:bookmarkEnd w:id="93"/>
      <w:bookmarkEnd w:id="94"/>
      <w:bookmarkEnd w:id="95"/>
      <w:bookmarkEnd w:id="96"/>
    </w:p>
    <w:p w14:paraId="624CCB06" w14:textId="742EB944" w:rsidR="00BD02F6" w:rsidRPr="00012E26" w:rsidRDefault="00BD02F6" w:rsidP="00391155">
      <w:pPr>
        <w:pStyle w:val="Schrifttum"/>
        <w:jc w:val="left"/>
      </w:pPr>
      <w:proofErr w:type="spellStart"/>
      <w:r w:rsidRPr="00012E26">
        <w:rPr>
          <w:i/>
        </w:rPr>
        <w:t>Wybitul</w:t>
      </w:r>
      <w:proofErr w:type="spellEnd"/>
      <w:r w:rsidRPr="00012E26">
        <w:t>, Die DS-GVO veröffentlich</w:t>
      </w:r>
      <w:r>
        <w:t>t</w:t>
      </w:r>
      <w:r w:rsidRPr="00012E26">
        <w:t xml:space="preserve"> – Was sind die neuen Anforderungen an die Unternehmen? ZD [Zeitschrift für Datenschutz] 2016, S. 253 ff.</w:t>
      </w:r>
      <w:r w:rsidR="00EB67A0">
        <w:t xml:space="preserve"> abrufbar unter: </w:t>
      </w:r>
      <w:r w:rsidR="00B5334B" w:rsidRPr="00B5334B">
        <w:t xml:space="preserve">http://t1p.de/sluh </w:t>
      </w:r>
      <w:r w:rsidR="00B5334B">
        <w:t>[Beck</w:t>
      </w:r>
      <w:r w:rsidR="00EB67A0" w:rsidRPr="00EB67A0">
        <w:t>-online</w:t>
      </w:r>
      <w:r w:rsidR="00B5334B">
        <w:t>, kostenpflichtig]</w:t>
      </w:r>
    </w:p>
    <w:p w14:paraId="285CF9D8" w14:textId="65269FD4" w:rsidR="00AA7C12" w:rsidRDefault="00971644" w:rsidP="00C77EC6">
      <w:r>
        <w:t>D</w:t>
      </w:r>
      <w:r w:rsidR="3C8091D4">
        <w:t xml:space="preserve">ie neue </w:t>
      </w:r>
      <w:r w:rsidR="00F74868">
        <w:t>DSGVO</w:t>
      </w:r>
      <w:r>
        <w:t xml:space="preserve"> </w:t>
      </w:r>
      <w:r w:rsidR="000F584D">
        <w:t xml:space="preserve">entfaltet ihre </w:t>
      </w:r>
      <w:r>
        <w:t>rechtlichen Wirkungen ab dem</w:t>
      </w:r>
      <w:r w:rsidR="3C8091D4">
        <w:t xml:space="preserve"> 25. Mai 2018</w:t>
      </w:r>
      <w:r>
        <w:t>.</w:t>
      </w:r>
      <w:r w:rsidR="00020CC0">
        <w:t xml:space="preserve"> </w:t>
      </w:r>
      <w:r w:rsidR="00AE7DC5">
        <w:t xml:space="preserve">Die </w:t>
      </w:r>
      <w:r w:rsidR="3C8091D4">
        <w:t>Grundvorstellung</w:t>
      </w:r>
      <w:r w:rsidR="00AE7DC5">
        <w:t xml:space="preserve"> des </w:t>
      </w:r>
      <w:r w:rsidR="006052A7">
        <w:t xml:space="preserve">bisherigen </w:t>
      </w:r>
      <w:r w:rsidR="00AE7DC5">
        <w:t>deutschen Datenschutzrechtes</w:t>
      </w:r>
      <w:r w:rsidR="3C8091D4">
        <w:t xml:space="preserve"> bleibt </w:t>
      </w:r>
      <w:r w:rsidR="00F74868">
        <w:t>unter der DSGVO</w:t>
      </w:r>
      <w:r w:rsidR="00011298">
        <w:t xml:space="preserve"> </w:t>
      </w:r>
      <w:r w:rsidR="3C8091D4">
        <w:t xml:space="preserve">erhalten: Die Verarbeitung von </w:t>
      </w:r>
      <w:r w:rsidR="00B055D2">
        <w:t xml:space="preserve">personenbezogenen </w:t>
      </w:r>
      <w:r w:rsidR="3C8091D4">
        <w:t xml:space="preserve">Daten wird weiterhin </w:t>
      </w:r>
      <w:r w:rsidR="00DB02BA">
        <w:t>im Grundsatz für</w:t>
      </w:r>
      <w:r w:rsidR="3C8091D4">
        <w:t xml:space="preserve"> </w:t>
      </w:r>
      <w:r w:rsidR="00785689">
        <w:t>schädlich</w:t>
      </w:r>
      <w:r w:rsidR="3C8091D4">
        <w:t xml:space="preserve"> gehalten. Es besteht </w:t>
      </w:r>
      <w:r w:rsidR="00011298">
        <w:t>deshalb</w:t>
      </w:r>
      <w:r w:rsidR="00281130">
        <w:t xml:space="preserve"> regelungstechnisch</w:t>
      </w:r>
      <w:r w:rsidR="00011298">
        <w:t xml:space="preserve"> </w:t>
      </w:r>
      <w:r w:rsidR="3C8091D4">
        <w:t xml:space="preserve">ein Verbot mit Erlaubnisvorbehalt. Die Verarbeitung von personenbezogenen Daten ist verboten, solange sich </w:t>
      </w:r>
      <w:r w:rsidR="008F0A6E">
        <w:t>die Verantwortliche Stelle</w:t>
      </w:r>
      <w:r w:rsidR="3C8091D4">
        <w:t xml:space="preserve"> nicht auf eine gesetzliche Erlaubnisnorm oder auf eine wirksame Einwilligung des Betroffenen berufen kann. </w:t>
      </w:r>
      <w:r w:rsidR="00F32A9D">
        <w:t>Daneben gibt es</w:t>
      </w:r>
      <w:r w:rsidR="00011298">
        <w:t xml:space="preserve"> </w:t>
      </w:r>
      <w:r w:rsidR="00F32A9D">
        <w:t>umfangreiche Informationspflichten</w:t>
      </w:r>
      <w:r w:rsidR="008D6616">
        <w:t xml:space="preserve"> (Art.</w:t>
      </w:r>
      <w:r w:rsidR="00293125">
        <w:t> </w:t>
      </w:r>
      <w:r w:rsidR="008D6616">
        <w:t>13,</w:t>
      </w:r>
      <w:r w:rsidR="00B82699">
        <w:t> </w:t>
      </w:r>
      <w:r w:rsidR="008D6616">
        <w:t>14 DSGVO).</w:t>
      </w:r>
      <w:r w:rsidR="00F22616">
        <w:t xml:space="preserve"> </w:t>
      </w:r>
      <w:r w:rsidR="008017C1">
        <w:t>Tendenziell</w:t>
      </w:r>
      <w:r w:rsidR="001158F7">
        <w:t xml:space="preserve"> werden die Anforderungen an Verständlichkeit und Transparenz </w:t>
      </w:r>
      <w:r w:rsidR="00AF6FB2">
        <w:t xml:space="preserve">gegenüber dem bisherigen Datenschutzrecht </w:t>
      </w:r>
      <w:r w:rsidR="001158F7">
        <w:t>erhöht. Insbesondere die Transparenz wird durch den Art.</w:t>
      </w:r>
      <w:r w:rsidR="00DB02BA">
        <w:t> </w:t>
      </w:r>
      <w:r w:rsidR="001158F7">
        <w:t>5</w:t>
      </w:r>
      <w:r w:rsidR="00DB02BA">
        <w:t> </w:t>
      </w:r>
      <w:r w:rsidR="001158F7">
        <w:t xml:space="preserve">Abs. 1 </w:t>
      </w:r>
      <w:proofErr w:type="spellStart"/>
      <w:r w:rsidR="001158F7">
        <w:t>lit</w:t>
      </w:r>
      <w:proofErr w:type="spellEnd"/>
      <w:r w:rsidR="001158F7">
        <w:t>. a DSGVO zu einem zentralen Prinzip der Datenverarbeitung erklärt. Art.</w:t>
      </w:r>
      <w:r w:rsidR="00DB02BA">
        <w:t> </w:t>
      </w:r>
      <w:r w:rsidR="001158F7">
        <w:t xml:space="preserve">12 DSGVO legt genauere Voraussetzungen für die Kommunikation bei der Erhebung von Daten und insbesondere für die Information über die Ausübung der Betroffenenrechte fest. </w:t>
      </w:r>
      <w:r w:rsidR="00E10136">
        <w:t xml:space="preserve">Auch für die Wirksamkeit einer </w:t>
      </w:r>
      <w:r w:rsidR="00281130">
        <w:t>beim</w:t>
      </w:r>
      <w:r w:rsidR="00E10136">
        <w:t xml:space="preserve"> Betroffenen eingeholten Einwilligung scheint die DSGVO ein erhöhtes Maß an Transparenz und Verständlichkeit zu verlangen</w:t>
      </w:r>
      <w:r w:rsidR="003B5EE4">
        <w:t>.</w:t>
      </w:r>
    </w:p>
    <w:p w14:paraId="481B75E1" w14:textId="70693FAD" w:rsidR="00AA7C12" w:rsidRDefault="00602CDD" w:rsidP="00C77EC6">
      <w:r>
        <w:t>Daneben gilt</w:t>
      </w:r>
      <w:r w:rsidR="00AA7C12">
        <w:t xml:space="preserve"> inhaltlich ein </w:t>
      </w:r>
      <w:r w:rsidR="00AF6FB2">
        <w:t xml:space="preserve">strenger </w:t>
      </w:r>
      <w:r w:rsidR="00AA7C12">
        <w:t>Maßstab. So muss die Einwilligung informiert erfolgen</w:t>
      </w:r>
      <w:r w:rsidR="00315B69">
        <w:t>,</w:t>
      </w:r>
      <w:r w:rsidR="00AA7C12">
        <w:t xml:space="preserve"> und </w:t>
      </w:r>
      <w:r w:rsidR="00315B69">
        <w:t xml:space="preserve">sie </w:t>
      </w:r>
      <w:r w:rsidR="00AA7C12">
        <w:t>muss unmissverständlich sein. Die Formulierungen deuten darauf hin, dass Mängel in der Kommunikation im Zweifel zu</w:t>
      </w:r>
      <w:r w:rsidR="00D315DC">
        <w:t>l</w:t>
      </w:r>
      <w:r w:rsidR="00AA7C12">
        <w:t>asten de</w:t>
      </w:r>
      <w:r w:rsidR="008F0A6E">
        <w:t xml:space="preserve">r </w:t>
      </w:r>
      <w:r w:rsidR="00BF3791">
        <w:t>Verantwortlichen Stelle</w:t>
      </w:r>
      <w:r w:rsidR="008F0A6E">
        <w:t xml:space="preserve"> </w:t>
      </w:r>
      <w:r w:rsidR="00AA7C12">
        <w:t>gehen, denn der Nachweis der nach obigen Bedingungen erfolgten Einwilligung obliegt ih</w:t>
      </w:r>
      <w:r w:rsidR="00315B69">
        <w:t>r</w:t>
      </w:r>
      <w:r w:rsidR="00BE20DB">
        <w:t xml:space="preserve"> (</w:t>
      </w:r>
      <w:r w:rsidR="00BE20DB" w:rsidRPr="00BE20DB">
        <w:t>Art. 7 Abs. 1 DSGVO</w:t>
      </w:r>
      <w:r w:rsidR="00BE20DB">
        <w:t>)</w:t>
      </w:r>
      <w:r w:rsidR="00AA7C12">
        <w:t>.</w:t>
      </w:r>
      <w:r w:rsidR="00BE20DB" w:rsidDel="00BE20DB">
        <w:rPr>
          <w:rStyle w:val="Funotenzeichen"/>
        </w:rPr>
        <w:t xml:space="preserve"> </w:t>
      </w:r>
    </w:p>
    <w:p w14:paraId="078E4785" w14:textId="1ED91AF1" w:rsidR="00F34DE5" w:rsidRPr="00F34DE5" w:rsidRDefault="009F3913" w:rsidP="006B30CC">
      <w:pPr>
        <w:pStyle w:val="berschrift6"/>
      </w:pPr>
      <w:bookmarkStart w:id="97" w:name="_Toc471812208"/>
      <w:bookmarkStart w:id="98" w:name="_Toc471818775"/>
      <w:bookmarkStart w:id="99" w:name="_Toc471826455"/>
      <w:bookmarkStart w:id="100" w:name="_Toc471828057"/>
      <w:bookmarkStart w:id="101" w:name="_Toc471829414"/>
      <w:bookmarkStart w:id="102" w:name="_Toc512241284"/>
      <w:r>
        <w:lastRenderedPageBreak/>
        <w:t>Das Ziel der Vollharmonisierung</w:t>
      </w:r>
      <w:r w:rsidR="00296F73">
        <w:t xml:space="preserve"> und seine Ausnahmen</w:t>
      </w:r>
      <w:bookmarkEnd w:id="97"/>
      <w:bookmarkEnd w:id="98"/>
      <w:bookmarkEnd w:id="99"/>
      <w:bookmarkEnd w:id="100"/>
      <w:bookmarkEnd w:id="101"/>
      <w:bookmarkEnd w:id="102"/>
    </w:p>
    <w:p w14:paraId="129F9356" w14:textId="066A7F6C" w:rsidR="00D551D0" w:rsidRDefault="005008E4" w:rsidP="00C77EC6">
      <w:r>
        <w:t xml:space="preserve">Auch </w:t>
      </w:r>
      <w:r w:rsidR="00A35FEB">
        <w:t>in Zukunft trägt die</w:t>
      </w:r>
      <w:r w:rsidR="3C8091D4">
        <w:t xml:space="preserve"> Strukturierung </w:t>
      </w:r>
      <w:r w:rsidR="00BB5578">
        <w:t xml:space="preserve">der Datenschutzgesetze in Deutschland </w:t>
      </w:r>
      <w:r w:rsidR="3C8091D4">
        <w:t>wenig zur Übersichtlichkeit des Datenschutzrechtes bei. So verteil</w:t>
      </w:r>
      <w:r w:rsidR="009F3913">
        <w:t>t</w:t>
      </w:r>
      <w:r w:rsidR="3C8091D4">
        <w:t xml:space="preserve">en sich die anwendbaren Normen je nach Einzelfall über diverse </w:t>
      </w:r>
      <w:r w:rsidR="00DD7CF3">
        <w:t xml:space="preserve">europarechtliche Regelungen sowie </w:t>
      </w:r>
      <w:r w:rsidR="3C8091D4">
        <w:t xml:space="preserve">Bundes-, Landes- und </w:t>
      </w:r>
      <w:r w:rsidR="00BB5578">
        <w:t>bereichs</w:t>
      </w:r>
      <w:r w:rsidR="3C8091D4">
        <w:t>spezifische Spezialgesetze.</w:t>
      </w:r>
      <w:r w:rsidR="00D551D0">
        <w:t xml:space="preserve"> </w:t>
      </w:r>
      <w:r w:rsidR="00BB5578">
        <w:t xml:space="preserve">Insbesondere </w:t>
      </w:r>
      <w:r w:rsidR="00D551D0">
        <w:t>die Abgrenzungen zwischen einzelnen Spezialgesetze</w:t>
      </w:r>
      <w:r w:rsidR="00F0529B">
        <w:t>n</w:t>
      </w:r>
      <w:r w:rsidR="00D551D0">
        <w:t xml:space="preserve"> </w:t>
      </w:r>
      <w:r w:rsidR="006366D2">
        <w:t xml:space="preserve">erweisen </w:t>
      </w:r>
      <w:r w:rsidR="00D551D0">
        <w:t xml:space="preserve">sich im Detail </w:t>
      </w:r>
      <w:r w:rsidR="00855531">
        <w:t xml:space="preserve">als </w:t>
      </w:r>
      <w:r w:rsidR="00D551D0">
        <w:t>schwierig.</w:t>
      </w:r>
      <w:r w:rsidR="00876C6E">
        <w:t xml:space="preserve"> </w:t>
      </w:r>
    </w:p>
    <w:p w14:paraId="77FEDE21" w14:textId="3EA70842" w:rsidR="0038593B" w:rsidRDefault="000938E3" w:rsidP="00C77EC6">
      <w:r>
        <w:t xml:space="preserve">Die bisher </w:t>
      </w:r>
      <w:r w:rsidR="00D551D0">
        <w:t xml:space="preserve">zentrale Unterscheidung für die Anwendbarkeit </w:t>
      </w:r>
      <w:r w:rsidR="00855531">
        <w:t>nach öffentlichen und nicht-</w:t>
      </w:r>
      <w:r>
        <w:t xml:space="preserve">öffentlichen Stellen sowie Spezialregelungen für bestimmte Datenkategorien </w:t>
      </w:r>
      <w:r w:rsidR="005008E4">
        <w:t xml:space="preserve">werden </w:t>
      </w:r>
      <w:r>
        <w:t xml:space="preserve">durch die DSGVO </w:t>
      </w:r>
      <w:r w:rsidR="00DD7CF3">
        <w:t>größtenteils</w:t>
      </w:r>
      <w:r>
        <w:t xml:space="preserve"> beseitigt. </w:t>
      </w:r>
      <w:r w:rsidR="00D114F9">
        <w:t>Für nicht</w:t>
      </w:r>
      <w:r w:rsidR="00C76951">
        <w:t>-</w:t>
      </w:r>
      <w:r w:rsidR="00D114F9">
        <w:t xml:space="preserve">öffentliche Stellen </w:t>
      </w:r>
      <w:r w:rsidR="00242D83">
        <w:t xml:space="preserve">– also die Wirtschaft – </w:t>
      </w:r>
      <w:r w:rsidR="00D114F9">
        <w:t xml:space="preserve">gilt </w:t>
      </w:r>
      <w:r w:rsidR="00F30B9E">
        <w:t xml:space="preserve">im Grundsatz </w:t>
      </w:r>
      <w:r w:rsidR="00D114F9">
        <w:t>di</w:t>
      </w:r>
      <w:r w:rsidR="00161236">
        <w:t xml:space="preserve">e </w:t>
      </w:r>
      <w:r w:rsidR="00855531">
        <w:t>DSGVO; m</w:t>
      </w:r>
      <w:r w:rsidR="00161236">
        <w:t>an spricht hier von einer Vollharmonisierung.</w:t>
      </w:r>
      <w:r w:rsidR="00855531">
        <w:t xml:space="preserve"> </w:t>
      </w:r>
      <w:r w:rsidR="00602CDD">
        <w:t>Die</w:t>
      </w:r>
      <w:r w:rsidR="00F62A41">
        <w:t xml:space="preserve"> Verarbeitung durch öffentliche Stellen </w:t>
      </w:r>
      <w:r w:rsidR="00D05E58">
        <w:t xml:space="preserve">– also die Verwaltung – </w:t>
      </w:r>
      <w:r w:rsidR="00F62A41">
        <w:t>richtet sich grundsätzlich genauso nach Art.</w:t>
      </w:r>
      <w:r w:rsidR="00DB02BA">
        <w:t> </w:t>
      </w:r>
      <w:r w:rsidR="00F62A41">
        <w:t>6</w:t>
      </w:r>
      <w:r w:rsidR="00DB02BA">
        <w:t> </w:t>
      </w:r>
      <w:r w:rsidR="00F62A41">
        <w:t xml:space="preserve">DSGVO. </w:t>
      </w:r>
    </w:p>
    <w:p w14:paraId="08203FC1" w14:textId="4C53770E" w:rsidR="006F2AD4" w:rsidRDefault="0016555F" w:rsidP="00C77EC6">
      <w:bookmarkStart w:id="103" w:name="_Toc469776776"/>
      <w:bookmarkStart w:id="104" w:name="_Toc471812209"/>
      <w:bookmarkStart w:id="105" w:name="_Toc471818776"/>
      <w:bookmarkStart w:id="106" w:name="_Toc471826456"/>
      <w:bookmarkStart w:id="107" w:name="_Toc471828058"/>
      <w:bookmarkStart w:id="108" w:name="_Toc471829415"/>
      <w:r>
        <w:t>Aus zwei Gründen kann eine Unterscheidung aber nach Wirksamwerden der DSGVO noch nötig sein</w:t>
      </w:r>
      <w:r w:rsidR="00242D83">
        <w:t>, soweit für den öffentlichen Bereich Öffnungsklauseln bestehen</w:t>
      </w:r>
      <w:r w:rsidR="009F3913">
        <w:t>.</w:t>
      </w:r>
      <w:r>
        <w:t xml:space="preserve"> </w:t>
      </w:r>
      <w:r w:rsidR="000938E3">
        <w:t>In Art. 23</w:t>
      </w:r>
      <w:r w:rsidR="002248DD">
        <w:t xml:space="preserve"> DSGVO findet sich eine Auflistung von diversen Bereichen des öffentlichen Sektors, in denen die Mitgliedsstaaten abweichende Regelungen erlassen könnten</w:t>
      </w:r>
      <w:r w:rsidR="00161236">
        <w:t>.</w:t>
      </w:r>
      <w:r w:rsidR="002248DD">
        <w:t xml:space="preserve"> </w:t>
      </w:r>
      <w:r w:rsidR="00E111B4">
        <w:t>Für den öffentlichen Bereich hat die Grundverordnung dadurch eher Richtliniencharakter.</w:t>
      </w:r>
      <w:r w:rsidR="002248DD">
        <w:t xml:space="preserve"> </w:t>
      </w:r>
      <w:r w:rsidR="00996DDF">
        <w:t>Art. 23 Abs.</w:t>
      </w:r>
      <w:r w:rsidR="006822E2">
        <w:t> </w:t>
      </w:r>
      <w:r w:rsidR="00996DDF">
        <w:t xml:space="preserve">2 DSGVO legt aber für diesen Bereich grundsätzliche </w:t>
      </w:r>
      <w:r w:rsidR="00D05E58">
        <w:t>datenschutzrechtliche</w:t>
      </w:r>
      <w:r w:rsidR="00996DDF">
        <w:t xml:space="preserve"> </w:t>
      </w:r>
      <w:r w:rsidR="00D05E58">
        <w:t xml:space="preserve">Anforderungen </w:t>
      </w:r>
      <w:r w:rsidR="00996DDF">
        <w:t>fest</w:t>
      </w:r>
      <w:r w:rsidR="006F2AD4">
        <w:t xml:space="preserve">, die im Geltungsbereich des Grundgesetzes </w:t>
      </w:r>
      <w:r w:rsidR="009F3913">
        <w:t xml:space="preserve">auch unabhängig von der DSGVO zu beachten </w:t>
      </w:r>
      <w:r w:rsidR="000D3E3D">
        <w:t>sind</w:t>
      </w:r>
      <w:r w:rsidR="009F3913">
        <w:t>.</w:t>
      </w:r>
    </w:p>
    <w:p w14:paraId="583A82F6" w14:textId="18DDD0D4" w:rsidR="00F527DA" w:rsidRDefault="002248DD" w:rsidP="00C77EC6">
      <w:r>
        <w:t xml:space="preserve">Eine weitere spezielle Ausnahme </w:t>
      </w:r>
      <w:r w:rsidR="00996DDF">
        <w:t>stellen die</w:t>
      </w:r>
      <w:r>
        <w:t xml:space="preserve"> öffentliche</w:t>
      </w:r>
      <w:r w:rsidR="00996DDF">
        <w:t>n</w:t>
      </w:r>
      <w:r>
        <w:t xml:space="preserve"> Stellen</w:t>
      </w:r>
      <w:r w:rsidR="00996DDF">
        <w:t xml:space="preserve"> dar</w:t>
      </w:r>
      <w:r>
        <w:t>, die generell nicht der Anwendung des Unionsrechts unterfallen.</w:t>
      </w:r>
      <w:r w:rsidR="00840E51">
        <w:t xml:space="preserve"> </w:t>
      </w:r>
      <w:r w:rsidR="00E24ABC">
        <w:t>Zu nennen sind hier das Bundesamt für Verfassungsschutz, der Bundesnachrichtendienst,</w:t>
      </w:r>
      <w:r w:rsidR="0000442D">
        <w:t xml:space="preserve"> der </w:t>
      </w:r>
      <w:proofErr w:type="gramStart"/>
      <w:r w:rsidR="0000442D">
        <w:t>Militärische</w:t>
      </w:r>
      <w:proofErr w:type="gramEnd"/>
      <w:r w:rsidR="0000442D">
        <w:t xml:space="preserve"> Abschirmdienst</w:t>
      </w:r>
      <w:r w:rsidR="004F03CB">
        <w:t xml:space="preserve"> und der Bereich des Sicherheitsüberprüfungsgesetzes. </w:t>
      </w:r>
      <w:r w:rsidR="0038593B">
        <w:t xml:space="preserve">Nicht unerwähnt bleiben sollte hier die </w:t>
      </w:r>
      <w:r w:rsidR="0038593B" w:rsidRPr="0038593B">
        <w:t xml:space="preserve">Richtlinie (EU) 2016/680 </w:t>
      </w:r>
      <w:r w:rsidR="0038593B">
        <w:t>„</w:t>
      </w:r>
      <w:r w:rsidR="0038593B" w:rsidRPr="0038593B">
        <w:t>zum Schutz natürlicher Personen bei der Verarbeitung personenbezogener Daten durch die zuständigen Behörden zum Zwecke der Verhütung, Ermittlung, Aufdeckung oder Verfolgung von Straftat</w:t>
      </w:r>
      <w:r w:rsidR="0038593B">
        <w:t>en oder der Strafvollstreckung“</w:t>
      </w:r>
      <w:r w:rsidR="00076AEA">
        <w:t>. Für diesen Bereich wird es nach Umsetzung durch die Mitgliedsstaaten separate Regelungen geben.</w:t>
      </w:r>
      <w:r w:rsidR="004339BA">
        <w:t xml:space="preserve"> </w:t>
      </w:r>
      <w:r w:rsidR="004339BA" w:rsidRPr="004339BA">
        <w:t xml:space="preserve">In Deutschland sind diese nunmehr ebenfalls im BDSG enthalten </w:t>
      </w:r>
      <w:r w:rsidR="00F5582E">
        <w:t>(</w:t>
      </w:r>
      <w:r w:rsidR="004339BA" w:rsidRPr="004339BA">
        <w:t>§§ 4</w:t>
      </w:r>
      <w:r w:rsidR="00810203">
        <w:t>5</w:t>
      </w:r>
      <w:r w:rsidR="004339BA" w:rsidRPr="004339BA">
        <w:t xml:space="preserve"> ff. BDSG)</w:t>
      </w:r>
      <w:r w:rsidR="004339BA">
        <w:t>.</w:t>
      </w:r>
    </w:p>
    <w:p w14:paraId="31D60624" w14:textId="059E0FC0" w:rsidR="00BB4209" w:rsidRDefault="00BB4209" w:rsidP="00BB4209">
      <w:pPr>
        <w:pStyle w:val="berschrift5"/>
      </w:pPr>
      <w:bookmarkStart w:id="109" w:name="_Toc512241285"/>
      <w:r>
        <w:t>Datenschutz als Wettbewerbsvorteil</w:t>
      </w:r>
      <w:bookmarkEnd w:id="103"/>
      <w:r w:rsidR="00C20D74">
        <w:t xml:space="preserve"> und </w:t>
      </w:r>
      <w:r w:rsidR="00B942F1">
        <w:t>bessere Verwaltungsleistung</w:t>
      </w:r>
      <w:bookmarkEnd w:id="104"/>
      <w:bookmarkEnd w:id="105"/>
      <w:bookmarkEnd w:id="106"/>
      <w:bookmarkEnd w:id="107"/>
      <w:bookmarkEnd w:id="108"/>
      <w:bookmarkEnd w:id="109"/>
    </w:p>
    <w:p w14:paraId="7BF3F24B" w14:textId="7308E5E2" w:rsidR="008752B4" w:rsidRPr="00A053EE" w:rsidRDefault="008752B4" w:rsidP="00391155">
      <w:pPr>
        <w:pStyle w:val="Schrifttum"/>
        <w:jc w:val="left"/>
      </w:pPr>
      <w:proofErr w:type="spellStart"/>
      <w:r w:rsidRPr="00A053EE">
        <w:rPr>
          <w:i/>
        </w:rPr>
        <w:t>Hoeren</w:t>
      </w:r>
      <w:proofErr w:type="spellEnd"/>
      <w:r w:rsidRPr="00A053EE">
        <w:t>,</w:t>
      </w:r>
      <w:r w:rsidR="00C85A66">
        <w:t xml:space="preserve"> Datenschutz als Wettbewerbsvorteil,</w:t>
      </w:r>
      <w:r w:rsidR="00512794">
        <w:t xml:space="preserve"> </w:t>
      </w:r>
      <w:r w:rsidRPr="00A053EE">
        <w:t>in: Bäumler (Hrsg.), E-Privacy, Vieweg</w:t>
      </w:r>
      <w:r w:rsidR="00C85A66">
        <w:t xml:space="preserve"> und </w:t>
      </w:r>
      <w:r w:rsidRPr="00A053EE">
        <w:t>Teubner Verlag 2000, S. 263 ff.</w:t>
      </w:r>
    </w:p>
    <w:p w14:paraId="1BE24CE2" w14:textId="7577BE23" w:rsidR="000F70FC" w:rsidRDefault="00BB4209" w:rsidP="000F70FC">
      <w:r w:rsidRPr="00BD5073">
        <w:t xml:space="preserve">Gefällige Datenschutzkommunikation </w:t>
      </w:r>
      <w:r>
        <w:t xml:space="preserve">kann mehr sein als nur </w:t>
      </w:r>
      <w:r w:rsidRPr="00BD5073">
        <w:t>die Erfüllung lästiger rechtlicher Pflichten.</w:t>
      </w:r>
      <w:r>
        <w:t xml:space="preserve"> </w:t>
      </w:r>
      <w:r w:rsidR="00C97B6B">
        <w:t xml:space="preserve">Da den entsprechenden Pflichten nicht ausgewichen werden kann, mag eine Verantwortliche Stelle die Perspektive wechseln und überlegen, wie die Kommunikation wirtschaftlich </w:t>
      </w:r>
      <w:r w:rsidR="003A4039">
        <w:t xml:space="preserve">und administrativ </w:t>
      </w:r>
      <w:r w:rsidR="00C97B6B">
        <w:t xml:space="preserve">sinnvoll, d.h. </w:t>
      </w:r>
      <w:r w:rsidR="005008E4">
        <w:t>als</w:t>
      </w:r>
      <w:r w:rsidR="00C97B6B">
        <w:t xml:space="preserve"> Vorteil im Wettbewerb</w:t>
      </w:r>
      <w:r w:rsidR="003A4039">
        <w:t xml:space="preserve"> oder zur Verbesserung der Verwaltungsleistung</w:t>
      </w:r>
      <w:r w:rsidR="00C97B6B">
        <w:t>, genutzt werden kann.</w:t>
      </w:r>
      <w:r w:rsidR="000F70FC">
        <w:t xml:space="preserve"> Die </w:t>
      </w:r>
      <w:r w:rsidR="000F70FC" w:rsidRPr="00FA49D7">
        <w:t xml:space="preserve">Vorteile einer gelungenen Kommunikationsstrategie liegen dabei nicht nur in der Abwehr von schlechter Presse und gesetzlicher Sanktionen, sondern </w:t>
      </w:r>
      <w:r w:rsidR="00C4436A">
        <w:t>es besteht</w:t>
      </w:r>
      <w:r w:rsidR="00C20D74">
        <w:t xml:space="preserve"> </w:t>
      </w:r>
      <w:r w:rsidR="000F70FC" w:rsidRPr="00FA49D7">
        <w:t>auch</w:t>
      </w:r>
      <w:r w:rsidR="008D6689">
        <w:t xml:space="preserve"> </w:t>
      </w:r>
      <w:r w:rsidR="000F70FC" w:rsidRPr="00FA49D7">
        <w:t xml:space="preserve">ein Eigeninteresse des </w:t>
      </w:r>
      <w:r w:rsidR="00E86DF9">
        <w:t>Verarbeiters</w:t>
      </w:r>
      <w:r w:rsidR="000F70FC" w:rsidRPr="00FA49D7">
        <w:t>.</w:t>
      </w:r>
    </w:p>
    <w:p w14:paraId="56C19B82" w14:textId="5070DC3A" w:rsidR="00F65BCB" w:rsidRDefault="00F65BCB" w:rsidP="00FE673C">
      <w:pPr>
        <w:pStyle w:val="berschrift6"/>
      </w:pPr>
      <w:bookmarkStart w:id="110" w:name="_Toc469776777"/>
      <w:bookmarkStart w:id="111" w:name="_Toc471812210"/>
      <w:bookmarkStart w:id="112" w:name="_Toc471818777"/>
      <w:bookmarkStart w:id="113" w:name="_Toc471826457"/>
      <w:bookmarkStart w:id="114" w:name="_Toc471828059"/>
      <w:bookmarkStart w:id="115" w:name="_Toc471829416"/>
      <w:bookmarkStart w:id="116" w:name="_Toc512241286"/>
      <w:r>
        <w:t>Betroffenenvertrauen als Gut</w:t>
      </w:r>
      <w:bookmarkEnd w:id="110"/>
      <w:bookmarkEnd w:id="111"/>
      <w:bookmarkEnd w:id="112"/>
      <w:bookmarkEnd w:id="113"/>
      <w:bookmarkEnd w:id="114"/>
      <w:bookmarkEnd w:id="115"/>
      <w:bookmarkEnd w:id="116"/>
    </w:p>
    <w:p w14:paraId="12134EAF" w14:textId="5CA4A4D7" w:rsidR="00332B58" w:rsidRPr="00F66E39" w:rsidRDefault="00332B58" w:rsidP="00391155">
      <w:pPr>
        <w:pStyle w:val="Schrifttum"/>
        <w:jc w:val="left"/>
      </w:pPr>
      <w:proofErr w:type="spellStart"/>
      <w:r w:rsidRPr="00332B58">
        <w:rPr>
          <w:i/>
        </w:rPr>
        <w:t>Mantelero</w:t>
      </w:r>
      <w:proofErr w:type="spellEnd"/>
      <w:r w:rsidRPr="00332B58">
        <w:t xml:space="preserve">, </w:t>
      </w:r>
      <w:r w:rsidRPr="00332B58">
        <w:rPr>
          <w:lang w:val="en-GB"/>
        </w:rPr>
        <w:t>Competitive value of data protection, IDPL [International Data Privacy Law] 2013, S. 229 ff</w:t>
      </w:r>
      <w:r>
        <w:rPr>
          <w:lang w:val="en-GB"/>
        </w:rPr>
        <w:t>.</w:t>
      </w:r>
      <w:r w:rsidR="00EB67A0">
        <w:rPr>
          <w:lang w:val="en-GB"/>
        </w:rPr>
        <w:t xml:space="preserve"> </w:t>
      </w:r>
      <w:r w:rsidR="00EB67A0" w:rsidRPr="00F66E39">
        <w:t>abrufbar unter http://idpl.oxfordjournals.org/content/3/4/229.full.pdf+html</w:t>
      </w:r>
      <w:r w:rsidR="00FF7734" w:rsidRPr="00737CDE">
        <w:t xml:space="preserve"> [Oxford Academic, kostenpflichtig] </w:t>
      </w:r>
    </w:p>
    <w:p w14:paraId="71DFF355" w14:textId="6D51DBE2" w:rsidR="000F70FC" w:rsidRDefault="000F70FC" w:rsidP="000F70FC">
      <w:r>
        <w:t xml:space="preserve">Neben den Kosten für die Umsetzung datenschutzrechtlicher </w:t>
      </w:r>
      <w:r w:rsidR="001221D6">
        <w:t xml:space="preserve">Anforderungen </w:t>
      </w:r>
      <w:r w:rsidR="00B942F1">
        <w:t>darf</w:t>
      </w:r>
      <w:r>
        <w:t xml:space="preserve"> die Steigerung des Vertrauens der </w:t>
      </w:r>
      <w:r w:rsidR="001221D6">
        <w:t xml:space="preserve">Betroffenen </w:t>
      </w:r>
      <w:r>
        <w:t xml:space="preserve">auch bei einer betriebswirtschaftlichen </w:t>
      </w:r>
      <w:r w:rsidR="001221D6">
        <w:t>und verwaltungspraktischen</w:t>
      </w:r>
      <w:r w:rsidR="00276884">
        <w:t xml:space="preserve"> </w:t>
      </w:r>
      <w:r>
        <w:t xml:space="preserve">Betrachtung der Kommunikationsstrategie nicht außer Acht bleiben. </w:t>
      </w:r>
      <w:r w:rsidR="00402E82">
        <w:t>Bei Missachtung de</w:t>
      </w:r>
      <w:r w:rsidR="00A053EE">
        <w:t>r</w:t>
      </w:r>
      <w:r w:rsidR="00402E82">
        <w:t xml:space="preserve"> gesetzlichen Mindestanforderungen</w:t>
      </w:r>
      <w:r w:rsidDel="000F70FC">
        <w:t xml:space="preserve"> setzt man sich außerdem Haftungs- und Prozessrisiken aus.</w:t>
      </w:r>
    </w:p>
    <w:p w14:paraId="40F0C266" w14:textId="3687AAFE" w:rsidR="00BB4209" w:rsidRPr="00FA49D7" w:rsidRDefault="00BB4209" w:rsidP="00BB4209">
      <w:r>
        <w:lastRenderedPageBreak/>
        <w:t xml:space="preserve">Zwar wird der </w:t>
      </w:r>
      <w:r w:rsidR="00921920">
        <w:t>EU-</w:t>
      </w:r>
      <w:r>
        <w:t>Datenschutz</w:t>
      </w:r>
      <w:r w:rsidR="00921920">
        <w:t>-G</w:t>
      </w:r>
      <w:r>
        <w:t xml:space="preserve">rundverordnung und dem </w:t>
      </w:r>
      <w:r w:rsidR="00921920">
        <w:t>diese dann interpretierenden Europäischen Gerichtshof (</w:t>
      </w:r>
      <w:r>
        <w:t>EuGH</w:t>
      </w:r>
      <w:r w:rsidR="00921920">
        <w:t>)</w:t>
      </w:r>
      <w:r>
        <w:t xml:space="preserve"> nicht ganz zu Unrecht unterstellt, dass die Interessen und Rechte des Einzelnen häufig höher bewertet werden als die Interessen der Unternehmen. Über die notwendige und transparente Kommunikation aus rechtlich zwingendem Anlass hinaus kann die </w:t>
      </w:r>
      <w:r w:rsidRPr="00FA49D7">
        <w:t xml:space="preserve">Kommunikation im Datenschutz </w:t>
      </w:r>
      <w:r w:rsidR="00CE2758">
        <w:t xml:space="preserve">jedoch </w:t>
      </w:r>
      <w:r w:rsidRPr="00FA49D7">
        <w:t xml:space="preserve">als Teil der Öffentlichkeitsarbeit ein handfester </w:t>
      </w:r>
      <w:r>
        <w:t>Marketing</w:t>
      </w:r>
      <w:r w:rsidR="006B4502">
        <w:t>v</w:t>
      </w:r>
      <w:r w:rsidRPr="00FA49D7">
        <w:t xml:space="preserve">orteil werden, indem man sich durch Fairness und Transparenz von anderen </w:t>
      </w:r>
      <w:r w:rsidR="00276884">
        <w:t xml:space="preserve">Verarbeitern </w:t>
      </w:r>
      <w:r w:rsidRPr="00FA49D7">
        <w:t xml:space="preserve">abgrenzt. </w:t>
      </w:r>
      <w:r w:rsidR="00F471CC">
        <w:t>Das</w:t>
      </w:r>
      <w:r w:rsidRPr="00FA49D7">
        <w:t xml:space="preserve"> Datenschutzrecht</w:t>
      </w:r>
      <w:r w:rsidR="007503B1">
        <w:t xml:space="preserve"> </w:t>
      </w:r>
      <w:r w:rsidR="00F471CC">
        <w:t xml:space="preserve">macht </w:t>
      </w:r>
      <w:r w:rsidR="0034014F">
        <w:t xml:space="preserve">nämlich </w:t>
      </w:r>
      <w:r w:rsidRPr="00FA49D7">
        <w:t xml:space="preserve">nur </w:t>
      </w:r>
      <w:r w:rsidR="00F471CC">
        <w:t xml:space="preserve">– freilich auf hohem Niveau – </w:t>
      </w:r>
      <w:r w:rsidRPr="00FA49D7">
        <w:t xml:space="preserve">Mindestvorgaben und </w:t>
      </w:r>
      <w:r w:rsidR="00F471CC">
        <w:t xml:space="preserve">belässt </w:t>
      </w:r>
      <w:r w:rsidRPr="00FA49D7">
        <w:t xml:space="preserve">den </w:t>
      </w:r>
      <w:r w:rsidR="00BF3791">
        <w:t>Verantwortlichen Stelle</w:t>
      </w:r>
      <w:r w:rsidRPr="00FA49D7">
        <w:t xml:space="preserve">n Möglichkeiten für höhere Datenschutzstandards. </w:t>
      </w:r>
    </w:p>
    <w:p w14:paraId="739A1ABE" w14:textId="497D40A4" w:rsidR="00BB4209" w:rsidRDefault="00BB4209" w:rsidP="00BB4209">
      <w:r w:rsidRPr="00FA49D7">
        <w:t xml:space="preserve">In einer Zeit, in der Daten immer mehr zu einem wirtschaftlichen Gut werden, ist der </w:t>
      </w:r>
      <w:r w:rsidR="0034014F">
        <w:t>Zugriff</w:t>
      </w:r>
      <w:r w:rsidRPr="00FA49D7">
        <w:t xml:space="preserve"> </w:t>
      </w:r>
      <w:r w:rsidR="0034014F">
        <w:t>auf diese</w:t>
      </w:r>
      <w:r w:rsidRPr="00FA49D7">
        <w:t xml:space="preserve"> von großer wirtschaftlicher </w:t>
      </w:r>
      <w:r w:rsidR="0034014F">
        <w:t xml:space="preserve">und administrativer </w:t>
      </w:r>
      <w:r w:rsidRPr="00FA49D7">
        <w:t xml:space="preserve">Bedeutung. </w:t>
      </w:r>
      <w:r w:rsidR="0034014F">
        <w:t>Betroffene</w:t>
      </w:r>
      <w:r w:rsidRPr="00FA49D7">
        <w:t xml:space="preserve"> wird man langfristig nur durch Transparenz und Vertrauen dazu </w:t>
      </w:r>
      <w:r w:rsidRPr="00EB022C">
        <w:t>bringen</w:t>
      </w:r>
      <w:r w:rsidRPr="00FA49D7">
        <w:t xml:space="preserve"> können, </w:t>
      </w:r>
      <w:r w:rsidR="000D34BC">
        <w:t>Daten offen</w:t>
      </w:r>
      <w:r w:rsidRPr="00FA49D7">
        <w:t>z</w:t>
      </w:r>
      <w:r w:rsidR="000D34BC">
        <w:t>u</w:t>
      </w:r>
      <w:r w:rsidRPr="00FA49D7">
        <w:t xml:space="preserve">legen. </w:t>
      </w:r>
      <w:r w:rsidR="00B85058">
        <w:t>Es kann dabei sinnvoll sein, ausdrücklich und in einer klaren Sprache den Vorgang der Datenverarbeitung transparent zu machen. Insbesondere bei datengetriebenen Anwendungen si</w:t>
      </w:r>
      <w:r w:rsidR="00C3037D">
        <w:t xml:space="preserve">nd die Vorteile </w:t>
      </w:r>
      <w:r w:rsidR="00B85058">
        <w:t>hervorzuheben, die ggf. dadurch entstehen, dass der Verarbeiter mehr Inform</w:t>
      </w:r>
      <w:r w:rsidR="00C3037D">
        <w:t>ationen über den Betroffenen hat</w:t>
      </w:r>
      <w:r w:rsidR="00B85058">
        <w:t xml:space="preserve">. </w:t>
      </w:r>
      <w:r w:rsidRPr="00FA49D7">
        <w:t>Das Vertrauen in die Verantwortliche Stelle ist insbesondere von elementarer Bedeutung, da de</w:t>
      </w:r>
      <w:r>
        <w:t>ren</w:t>
      </w:r>
      <w:r w:rsidRPr="00FA49D7">
        <w:t xml:space="preserve"> Kommunikation letztendlich den einzigen nachprüfbaren Ansatzpunkt für den Betroffenen darstellt: Die Überprüfung, ob die gemachten Angaben zum Umgang mit den Daten tatsächlich der Realität entsprechen, ist diesem kaum möglich</w:t>
      </w:r>
      <w:r w:rsidR="00B85058">
        <w:t>, sondern allein den Datenschutzbehörden.</w:t>
      </w:r>
    </w:p>
    <w:p w14:paraId="4A448FFD" w14:textId="34DCCDB0" w:rsidR="00F65BCB" w:rsidRPr="00FA49D7" w:rsidRDefault="00F65BCB" w:rsidP="00F65BCB">
      <w:pPr>
        <w:pStyle w:val="berschrift6"/>
      </w:pPr>
      <w:bookmarkStart w:id="117" w:name="_Toc469776778"/>
      <w:bookmarkStart w:id="118" w:name="_Toc471812211"/>
      <w:bookmarkStart w:id="119" w:name="_Toc471818778"/>
      <w:bookmarkStart w:id="120" w:name="_Toc471826458"/>
      <w:bookmarkStart w:id="121" w:name="_Toc471828060"/>
      <w:bookmarkStart w:id="122" w:name="_Toc471829417"/>
      <w:bookmarkStart w:id="123" w:name="_Toc512241287"/>
      <w:r>
        <w:t>Datenschutzkommunikation als Instrument im Wettbewerb</w:t>
      </w:r>
      <w:bookmarkEnd w:id="117"/>
      <w:bookmarkEnd w:id="118"/>
      <w:bookmarkEnd w:id="119"/>
      <w:bookmarkEnd w:id="120"/>
      <w:bookmarkEnd w:id="121"/>
      <w:bookmarkEnd w:id="122"/>
      <w:bookmarkEnd w:id="123"/>
    </w:p>
    <w:p w14:paraId="6D8A8AC0" w14:textId="69888E01" w:rsidR="006D7EB2" w:rsidRDefault="0063400F" w:rsidP="006D7EB2">
      <w:r>
        <w:t xml:space="preserve">Es </w:t>
      </w:r>
      <w:r w:rsidR="006D7EB2">
        <w:t>gibt durchaus Konzepte, Informationen über Datenschutz verständlich und gefällig zu kommunizieren. Diese Anforderungen lassen sich aber nur schwer in „harte“ gesetzliche Regelungen gießen.</w:t>
      </w:r>
      <w:r w:rsidR="00B85058">
        <w:t xml:space="preserve"> </w:t>
      </w:r>
      <w:r w:rsidR="006D7EB2">
        <w:t xml:space="preserve">Allerdings </w:t>
      </w:r>
      <w:r w:rsidR="00F02D92">
        <w:t>gibt es</w:t>
      </w:r>
      <w:r w:rsidR="006D7EB2">
        <w:t xml:space="preserve"> Wege, die unhandlichen „harten“ rechtlichen Verpflichtungen in eine eingängigere Form zu</w:t>
      </w:r>
      <w:r w:rsidR="00F02D92">
        <w:t xml:space="preserve"> </w:t>
      </w:r>
      <w:r w:rsidR="006D7EB2">
        <w:t xml:space="preserve">gießen. Wenn die Kommunikation von Datenschutz dann nicht mehr als Last empfunden wird, kann sie zu einem </w:t>
      </w:r>
      <w:r w:rsidR="00F02D92">
        <w:t>positiven F</w:t>
      </w:r>
      <w:r w:rsidR="006D7EB2">
        <w:t xml:space="preserve">aktor werden. Bei Betroffenen ist durch Datenskandale in der Vergangenheit zumindest in einigen Bereichen eine Sensibilisierung für das Thema zu erkennen. Dies gilt insbesondere für die Möglichkeiten eines späteren Zugriffs </w:t>
      </w:r>
      <w:r w:rsidR="00430FB8">
        <w:t xml:space="preserve">von Sicherheitsbehörden </w:t>
      </w:r>
      <w:r w:rsidR="006D7EB2">
        <w:t xml:space="preserve">auf </w:t>
      </w:r>
      <w:r w:rsidR="000B6874">
        <w:t>ursprünglich</w:t>
      </w:r>
      <w:r w:rsidR="006D7EB2">
        <w:t xml:space="preserve"> von Privaten </w:t>
      </w:r>
      <w:r w:rsidR="00430FB8">
        <w:t xml:space="preserve">oder der sonstigen Verwaltung </w:t>
      </w:r>
      <w:r w:rsidR="006D7EB2">
        <w:t>zusammengestellte Datensammlungen.</w:t>
      </w:r>
    </w:p>
    <w:p w14:paraId="6B053BAA" w14:textId="79914BE8" w:rsidR="006D7EB2" w:rsidRDefault="006D7EB2" w:rsidP="006D7EB2">
      <w:r>
        <w:t xml:space="preserve">Die Verantwortliche Stelle kann den Datenschutz dann als Wettbewerbsvorteil </w:t>
      </w:r>
      <w:r w:rsidR="005B106A">
        <w:t xml:space="preserve">oder als Bürgerservice </w:t>
      </w:r>
      <w:r>
        <w:t>nutzen, wenn sie diesen statt als reine Erfüllung von gesetzlichen Pflichten und der Vermeidung von schlechter Presse als Teil der Öffentlichkeitsarbeit und als Qualitätsmerkmal für das Endprodukt ansieht. Die Einhaltung der Vorgaben des Datenschutzrechts an sich schafft dabei nur wettbewerbliche Gleichheit</w:t>
      </w:r>
      <w:r w:rsidR="00F87DC3">
        <w:t xml:space="preserve"> bzw. Compliance</w:t>
      </w:r>
      <w:r>
        <w:t xml:space="preserve">. Erst ein </w:t>
      </w:r>
      <w:proofErr w:type="gramStart"/>
      <w:r>
        <w:t>darüber hinausgehendes</w:t>
      </w:r>
      <w:proofErr w:type="gramEnd"/>
      <w:r>
        <w:t xml:space="preserve"> (zumindest kommunikatives) Engagement </w:t>
      </w:r>
      <w:r w:rsidR="005B106A">
        <w:t xml:space="preserve">der Verantwortlichen </w:t>
      </w:r>
      <w:r>
        <w:t>lässt sich vorteilhaft nutzen</w:t>
      </w:r>
      <w:r w:rsidR="00B92689">
        <w:t>.</w:t>
      </w:r>
    </w:p>
    <w:p w14:paraId="164D7CCF" w14:textId="5AEE1B28" w:rsidR="006D7EB2" w:rsidRPr="005B34F2" w:rsidRDefault="006D7EB2" w:rsidP="006D7EB2">
      <w:r>
        <w:t>Die Möglichkeiten, Datenschutz</w:t>
      </w:r>
      <w:r w:rsidR="00240A1F">
        <w:t>kommunikation</w:t>
      </w:r>
      <w:r>
        <w:t xml:space="preserve"> </w:t>
      </w:r>
      <w:r w:rsidR="000B6874">
        <w:t>flankierend</w:t>
      </w:r>
      <w:r>
        <w:t xml:space="preserve"> als Instrument des Marketings zu verwenden, werden heute schon genutzt. Häufig endet dies aber in der Praxis darin, dass </w:t>
      </w:r>
      <w:r w:rsidR="00406B11">
        <w:t>letztlich leere</w:t>
      </w:r>
      <w:r>
        <w:t xml:space="preserve"> Floskeln, Wiederholungen der ge</w:t>
      </w:r>
      <w:r w:rsidR="00406B11">
        <w:t>setzlichen Regelungen und bloße</w:t>
      </w:r>
      <w:r>
        <w:t xml:space="preserve"> Selbstverständlichkeiten folgen, die durch weitgehende Ermächtigungen zur Verwendung der Daten </w:t>
      </w:r>
      <w:r w:rsidR="00406B11">
        <w:t xml:space="preserve">die Datenschutzkommunikation </w:t>
      </w:r>
      <w:r>
        <w:t xml:space="preserve">in </w:t>
      </w:r>
      <w:r w:rsidR="00406B11">
        <w:t xml:space="preserve">ihr </w:t>
      </w:r>
      <w:r>
        <w:t>Gegenteil verkehren.</w:t>
      </w:r>
      <w:r w:rsidR="00015A31" w:rsidDel="00015A31">
        <w:rPr>
          <w:rStyle w:val="Funotenzeichen"/>
        </w:rPr>
        <w:t xml:space="preserve"> </w:t>
      </w:r>
    </w:p>
    <w:p w14:paraId="762F6A2C" w14:textId="29848128" w:rsidR="00F87DC3" w:rsidRDefault="006D7EB2" w:rsidP="00F87DC3">
      <w:r>
        <w:t>Die Erstellung auch kommunikations</w:t>
      </w:r>
      <w:r w:rsidR="0074023A">
        <w:t>praktisch</w:t>
      </w:r>
      <w:r>
        <w:t xml:space="preserve"> sinnvoller Texte stellt aufgrund der umfang</w:t>
      </w:r>
      <w:r w:rsidR="00CE2758">
        <w:t>r</w:t>
      </w:r>
      <w:r>
        <w:t>eichen rechtlichen Vorgaben und der nötigen Ausführungen zu technischen Vorgängen keine einfache, aber eine lösbare Aufgabe dar.</w:t>
      </w:r>
      <w:r w:rsidR="00F87DC3">
        <w:t xml:space="preserve"> </w:t>
      </w:r>
      <w:bookmarkStart w:id="124" w:name="_Toc469776779"/>
      <w:r w:rsidR="00F87DC3">
        <w:t>Ziel sollte die Verwendung von rechts</w:t>
      </w:r>
      <w:r w:rsidR="0074023A">
        <w:t>wissenschaftlich</w:t>
      </w:r>
      <w:r w:rsidR="00F87DC3">
        <w:t xml:space="preserve"> und kommunikations</w:t>
      </w:r>
      <w:r w:rsidR="00364149">
        <w:t>theoretisch</w:t>
      </w:r>
      <w:r w:rsidR="00F87DC3">
        <w:t xml:space="preserve"> fundierten, mit </w:t>
      </w:r>
      <w:r w:rsidR="00364149">
        <w:t>verarbeitungs</w:t>
      </w:r>
      <w:r w:rsidR="00F87DC3">
        <w:t xml:space="preserve">praktischen Bedürfnissen abgeglichenen und allgemeinverständlichen Texten sein. </w:t>
      </w:r>
    </w:p>
    <w:p w14:paraId="16D7DD69" w14:textId="77777777" w:rsidR="003E045D" w:rsidRDefault="006D2509" w:rsidP="003E045D">
      <w:pPr>
        <w:pStyle w:val="berschrift6"/>
        <w:numPr>
          <w:ilvl w:val="5"/>
          <w:numId w:val="26"/>
        </w:numPr>
      </w:pPr>
      <w:bookmarkStart w:id="125" w:name="_Toc512241288"/>
      <w:r>
        <w:lastRenderedPageBreak/>
        <w:t>Datenschutzkommunikation zur Verbesserung der Verwaltungsleistung</w:t>
      </w:r>
      <w:bookmarkEnd w:id="125"/>
    </w:p>
    <w:p w14:paraId="7255CA60" w14:textId="77777777" w:rsidR="003E045D" w:rsidRPr="003E045D" w:rsidRDefault="003E045D" w:rsidP="00474493">
      <w:pPr>
        <w:pStyle w:val="Schrifttum"/>
      </w:pPr>
      <w:r w:rsidRPr="00474493">
        <w:rPr>
          <w:i/>
        </w:rPr>
        <w:t>Wirtz/</w:t>
      </w:r>
      <w:proofErr w:type="spellStart"/>
      <w:r w:rsidRPr="00474493">
        <w:rPr>
          <w:i/>
        </w:rPr>
        <w:t>Göttel</w:t>
      </w:r>
      <w:proofErr w:type="spellEnd"/>
      <w:r w:rsidRPr="00474493">
        <w:rPr>
          <w:i/>
        </w:rPr>
        <w:t>/Thomas/Langner</w:t>
      </w:r>
      <w:r>
        <w:t>, Bürgerorientierte Web 2.0-Services, Deutsches Forschungsinstitut für die öffentliche Verwaltung, 2016</w:t>
      </w:r>
    </w:p>
    <w:p w14:paraId="6041BEC8" w14:textId="577D79C3" w:rsidR="006D2509" w:rsidRPr="006D2509" w:rsidRDefault="006D2509" w:rsidP="006D2509">
      <w:r>
        <w:t>Auch für öffentliche Stellen kann sich eine sinnvolle Kommunikation im Bereich des Datenschutzes als Vorteil erweisen. F</w:t>
      </w:r>
      <w:r w:rsidR="00EA7F23">
        <w:t>reilich steht bei Stichwort „e-</w:t>
      </w:r>
      <w:proofErr w:type="spellStart"/>
      <w:r w:rsidR="00EA7F23">
        <w:t>G</w:t>
      </w:r>
      <w:r>
        <w:t>overnment</w:t>
      </w:r>
      <w:proofErr w:type="spellEnd"/>
      <w:r>
        <w:t>“ meist zuerst die Vereinfachung für die Verwaltung und die Steigerung von Effizienz und auch Effektivität im Vordergrund. Auch muss Verwaltung im Gegensatz zu im wirtschaftlichen Wettbewerb angebotenen Dienstleitungen in erster Linie nicht zielgruppenorientiert, sondern rechtmäßig ausgestaltet werden. Daneben kann die Digitalisierung jedoch dazu genutzt werden, den Kontakt mit der Verwaltung bürger</w:t>
      </w:r>
      <w:r w:rsidR="00737CDE">
        <w:t>-</w:t>
      </w:r>
      <w:r>
        <w:t xml:space="preserve"> und unternehmensfreundlich zu gestalten. Über die ohnehin rechtlich verpflichtende transparente Datenschutzkommunikation hinaus, lassen sich viele der hier präsentierten Ansätze auch auf weiteres transparentes und bedarfsgerechtes Verwaltungshandeln übertragen. Verwaltung kann zum echten Bürgerservice werden, über Ansprüche, Rechte und Pf</w:t>
      </w:r>
      <w:r w:rsidR="00E7603E">
        <w:t>lichten aufklären und die Rechts</w:t>
      </w:r>
      <w:r>
        <w:t xml:space="preserve">staatlichkeit stärken. </w:t>
      </w:r>
    </w:p>
    <w:p w14:paraId="5F1D4855" w14:textId="5540ECE0" w:rsidR="0082263B" w:rsidRDefault="006D2509" w:rsidP="005C057C">
      <w:pPr>
        <w:pStyle w:val="berschrift6"/>
      </w:pPr>
      <w:r>
        <w:t xml:space="preserve"> </w:t>
      </w:r>
      <w:bookmarkStart w:id="126" w:name="_Toc512241289"/>
      <w:r w:rsidR="0082263B">
        <w:t>„</w:t>
      </w:r>
      <w:proofErr w:type="spellStart"/>
      <w:r w:rsidR="0082263B">
        <w:t>Nudging</w:t>
      </w:r>
      <w:proofErr w:type="spellEnd"/>
      <w:r w:rsidR="0082263B">
        <w:t>“: Ein Konzept zur Verhaltenssteuerung</w:t>
      </w:r>
      <w:bookmarkEnd w:id="126"/>
    </w:p>
    <w:p w14:paraId="5E3296D2" w14:textId="6841FC72" w:rsidR="0082263B" w:rsidRDefault="0082263B">
      <w:r>
        <w:t>Nicht ganz neu, aber vieldiskutiert ist das Konzept des sog. „</w:t>
      </w:r>
      <w:proofErr w:type="spellStart"/>
      <w:r>
        <w:t>Nudging</w:t>
      </w:r>
      <w:proofErr w:type="spellEnd"/>
      <w:r>
        <w:t>“. Eine gelungene deutsche Übersetzung hat sich noch nicht etabliert. Im wörtlichen Sinne könnte man hilfsweise die Bezeichnungen „</w:t>
      </w:r>
      <w:proofErr w:type="spellStart"/>
      <w:r>
        <w:t>Stupser</w:t>
      </w:r>
      <w:proofErr w:type="spellEnd"/>
      <w:r>
        <w:t xml:space="preserve">“ oder „Anstoß“ verwenden. </w:t>
      </w:r>
    </w:p>
    <w:p w14:paraId="3E1ED981" w14:textId="7F002AA0" w:rsidR="0082263B" w:rsidRDefault="0082263B">
      <w:r>
        <w:t>Grundlage des Konzeptes ist die sanfte Beeinflussung von Verhalten. Dabei wird davon ausgegangen, dass wie oben bereits für den Datenschutz beschrieben</w:t>
      </w:r>
      <w:r w:rsidR="00405EF6">
        <w:t xml:space="preserve"> </w:t>
      </w:r>
      <w:r w:rsidRPr="00830FB9">
        <w:t>(I.1.)</w:t>
      </w:r>
      <w:r>
        <w:t xml:space="preserve"> der Mensch in der Regel keine streng rationalen </w:t>
      </w:r>
      <w:r w:rsidR="00405EF6">
        <w:t xml:space="preserve">ökonomischen </w:t>
      </w:r>
      <w:r>
        <w:t>Entscheidungen trifft, sondern für subjektive</w:t>
      </w:r>
      <w:r w:rsidR="00405EF6">
        <w:t xml:space="preserve"> </w:t>
      </w:r>
      <w:r>
        <w:t xml:space="preserve">Anreize empfänglich ist und insofern häufig irrational handelt. Dieses Konzept kann im Marketing allgemein, aber auch insbesondere in der Datenschutzkommunikation zur Generierung von Wettbewerbsvorteilen und </w:t>
      </w:r>
      <w:r w:rsidR="0015317B">
        <w:t xml:space="preserve">für </w:t>
      </w:r>
      <w:r>
        <w:t>eine bessere, bürgerorientierte Verwaltungsleistung von Nutzen sein.</w:t>
      </w:r>
    </w:p>
    <w:p w14:paraId="15DA6069" w14:textId="36944E20" w:rsidR="0082263B" w:rsidRDefault="0082263B">
      <w:r>
        <w:t xml:space="preserve">Die Einsatzgebiete </w:t>
      </w:r>
      <w:r w:rsidR="00AA115A">
        <w:t>von „</w:t>
      </w:r>
      <w:proofErr w:type="spellStart"/>
      <w:r w:rsidR="00AA115A">
        <w:t>Nudges</w:t>
      </w:r>
      <w:proofErr w:type="spellEnd"/>
      <w:r w:rsidR="00AA115A">
        <w:t xml:space="preserve">“ </w:t>
      </w:r>
      <w:r w:rsidR="00602C53">
        <w:t>sind</w:t>
      </w:r>
      <w:r>
        <w:t xml:space="preserve"> dabei vielfältig. So sollte bereits weithin bekannt sein, dass der Betroffene in der Regel dazu neigt, ihm vorgegebene Standardeinstellungen wie angekreuzte Kästchen beizubehalten und sich damit </w:t>
      </w:r>
      <w:r w:rsidR="00602C53">
        <w:t xml:space="preserve">im Ergebnis der Vorgabe </w:t>
      </w:r>
      <w:r>
        <w:t>zu beugen, statt sich ausdrücklich dagegen zu entscheiden.</w:t>
      </w:r>
      <w:r w:rsidR="005462BE">
        <w:t xml:space="preserve"> Im Bereich der Einholung der Einwilligung sind dem freilich Grenzen </w:t>
      </w:r>
      <w:r w:rsidR="005462BE" w:rsidRPr="00F93002">
        <w:t>gesetzt (I.2.</w:t>
      </w:r>
      <w:r w:rsidR="00F93002" w:rsidRPr="00F93002">
        <w:t>b</w:t>
      </w:r>
      <w:r w:rsidR="005462BE" w:rsidRPr="00F93002">
        <w:t>)),</w:t>
      </w:r>
      <w:r w:rsidR="005462BE">
        <w:t xml:space="preserve"> aber darüber hinaus sind derartige Gestaltungsmöglichkeiten nicht absolut ausgeschlossen.</w:t>
      </w:r>
      <w:r>
        <w:t xml:space="preserve"> Je nach Einsatzzweck kann aber auch eine stärkere Individualisierung der Auswahlmöglichkeiten zu einer höheren Bindung führen. Dies beginnt schon bei einer persönlichen Ansprache in einem Text</w:t>
      </w:r>
      <w:r w:rsidR="005462BE">
        <w:t xml:space="preserve"> oder Video</w:t>
      </w:r>
      <w:r>
        <w:t>.</w:t>
      </w:r>
    </w:p>
    <w:p w14:paraId="4E25964C" w14:textId="2150D5B9" w:rsidR="0082263B" w:rsidRDefault="0082263B">
      <w:r>
        <w:t xml:space="preserve">Gerade die Art der Informationsdarstellung kann </w:t>
      </w:r>
      <w:r w:rsidR="0015317B">
        <w:t>schon</w:t>
      </w:r>
      <w:r>
        <w:t xml:space="preserve"> im Vorfeld auf die eigentliche Entscheidung des Betroffenen Einfluss nehmen. Insbesondere neue und von anderen Arten der Darstellung abweichende Konzepte können Neugier wecken, solange sie trotz Neuheit intuitiv und übersichtlich sind.</w:t>
      </w:r>
    </w:p>
    <w:p w14:paraId="08F14B93" w14:textId="3C6B73A3" w:rsidR="009F1840" w:rsidRPr="0082263B" w:rsidRDefault="00810203">
      <w:r>
        <w:t xml:space="preserve">Vor allem </w:t>
      </w:r>
      <w:r w:rsidR="009F1840">
        <w:t xml:space="preserve">im Bereich öffentlicher Stellen sollte man </w:t>
      </w:r>
      <w:r w:rsidR="00CE2758">
        <w:t xml:space="preserve">jedoch </w:t>
      </w:r>
      <w:r w:rsidR="009F1840">
        <w:t>aufgrund der intendierten Lenkungswirkung grundrechtliche Fragen nicht außer Acht lassen. Im privatwirtschaftlichen Bereich ergeben sich im Einzelfall werberechtliche Grenzen.</w:t>
      </w:r>
    </w:p>
    <w:p w14:paraId="6F43F7FC" w14:textId="3972610C" w:rsidR="00081731" w:rsidRDefault="00081731" w:rsidP="00DC7166">
      <w:pPr>
        <w:pStyle w:val="berschrift4"/>
      </w:pPr>
      <w:bookmarkStart w:id="127" w:name="_Toc471812212"/>
      <w:bookmarkStart w:id="128" w:name="_Toc471818779"/>
      <w:bookmarkStart w:id="129" w:name="_Toc471826459"/>
      <w:bookmarkStart w:id="130" w:name="_Toc471828061"/>
      <w:bookmarkStart w:id="131" w:name="_Toc471829418"/>
      <w:bookmarkStart w:id="132" w:name="_Toc512241290"/>
      <w:r>
        <w:t>Proaktive Kommunikation</w:t>
      </w:r>
      <w:bookmarkEnd w:id="124"/>
      <w:bookmarkEnd w:id="127"/>
      <w:bookmarkEnd w:id="128"/>
      <w:bookmarkEnd w:id="129"/>
      <w:bookmarkEnd w:id="130"/>
      <w:bookmarkEnd w:id="131"/>
      <w:bookmarkEnd w:id="132"/>
    </w:p>
    <w:p w14:paraId="183266C7" w14:textId="2E3043D5" w:rsidR="00DB28E9" w:rsidRDefault="00DB28E9" w:rsidP="00DB28E9">
      <w:r>
        <w:t xml:space="preserve">Auch wenn sich das Gesetz auf die individuelle Informierung </w:t>
      </w:r>
      <w:r w:rsidR="00181EE6">
        <w:t xml:space="preserve">des jeweiligen Betroffenen </w:t>
      </w:r>
      <w:r>
        <w:t xml:space="preserve">konzentriert, gibt es </w:t>
      </w:r>
      <w:r w:rsidR="00364149">
        <w:t xml:space="preserve">doch </w:t>
      </w:r>
      <w:r>
        <w:t xml:space="preserve">eine Reihe von Verpflichtungen, </w:t>
      </w:r>
      <w:r w:rsidR="00364149">
        <w:t>nach</w:t>
      </w:r>
      <w:r>
        <w:t xml:space="preserve"> denen das Datenschutzniveau oder jedenfalls hierfür relevante Parameter an die Öffentlichkeit kommuniziert werden</w:t>
      </w:r>
      <w:r w:rsidR="006777B4">
        <w:t xml:space="preserve"> müssen</w:t>
      </w:r>
      <w:r>
        <w:t>.</w:t>
      </w:r>
      <w:r w:rsidR="006F573E">
        <w:t xml:space="preserve"> Der Fokus der gesetzlichen Regelungen der DSGVO liegt hier klar auf rein internen Prozessen, </w:t>
      </w:r>
      <w:r w:rsidR="006F573E">
        <w:lastRenderedPageBreak/>
        <w:t>an welche jedoch im Rahmen der eigenen Kommunikationsstrategie angeknüpft werden kann.</w:t>
      </w:r>
      <w:r w:rsidR="00FF79D2">
        <w:t xml:space="preserve"> </w:t>
      </w:r>
      <w:r w:rsidR="0015317B">
        <w:t>Zusätzlich</w:t>
      </w:r>
      <w:r w:rsidR="00FF79D2">
        <w:t xml:space="preserve"> sind innerhalb des Verfahrens bereits kommunikative Elemente mit dem Datenschutzbeauftragt</w:t>
      </w:r>
      <w:r w:rsidR="00D80BCD">
        <w:t xml:space="preserve">en, </w:t>
      </w:r>
      <w:r w:rsidR="00FF79D2">
        <w:t>der Aufsichtsbehörde</w:t>
      </w:r>
      <w:r w:rsidR="00D80BCD">
        <w:t xml:space="preserve"> und den Betroffenen</w:t>
      </w:r>
      <w:r w:rsidR="00FF79D2">
        <w:t xml:space="preserve"> vorge</w:t>
      </w:r>
      <w:r w:rsidR="00D80BCD">
        <w:t>se</w:t>
      </w:r>
      <w:r w:rsidR="00FF79D2">
        <w:t>hen und teils sogar verpflichtend.</w:t>
      </w:r>
    </w:p>
    <w:p w14:paraId="2336881A" w14:textId="79374415" w:rsidR="00190D81" w:rsidRDefault="001F42D6" w:rsidP="00495506">
      <w:pPr>
        <w:pStyle w:val="berschrift5"/>
      </w:pPr>
      <w:bookmarkStart w:id="133" w:name="_Toc469776780"/>
      <w:bookmarkStart w:id="134" w:name="_Toc471812213"/>
      <w:bookmarkStart w:id="135" w:name="_Toc471818780"/>
      <w:bookmarkStart w:id="136" w:name="_Toc471826460"/>
      <w:bookmarkStart w:id="137" w:name="_Toc471828062"/>
      <w:bookmarkStart w:id="138" w:name="_Toc471829419"/>
      <w:bookmarkStart w:id="139" w:name="_Toc512241291"/>
      <w:r>
        <w:t xml:space="preserve">Interne </w:t>
      </w:r>
      <w:r w:rsidR="00190D81">
        <w:t>Vorarbeiten</w:t>
      </w:r>
      <w:bookmarkEnd w:id="133"/>
      <w:bookmarkEnd w:id="134"/>
      <w:bookmarkEnd w:id="135"/>
      <w:bookmarkEnd w:id="136"/>
      <w:bookmarkEnd w:id="137"/>
      <w:bookmarkEnd w:id="138"/>
      <w:bookmarkEnd w:id="139"/>
    </w:p>
    <w:p w14:paraId="219EBF3F" w14:textId="50A6B84A" w:rsidR="00303F5B" w:rsidRDefault="002346B5" w:rsidP="00140FC2">
      <w:bookmarkStart w:id="140" w:name="_Toc469776781"/>
      <w:r w:rsidRPr="00140FC2">
        <w:t xml:space="preserve">Durch die </w:t>
      </w:r>
      <w:r w:rsidR="006777B4" w:rsidRPr="00140FC2">
        <w:t xml:space="preserve">in den meisten Fällen </w:t>
      </w:r>
      <w:r w:rsidRPr="00140FC2">
        <w:t>vorzunehmende Compliance-Prüfung (</w:t>
      </w:r>
      <w:r w:rsidR="00521CC5" w:rsidRPr="00002A22">
        <w:t xml:space="preserve">Verzeichnis mit Verarbeitungstätigkeiten, </w:t>
      </w:r>
      <w:r w:rsidRPr="00140FC2">
        <w:t xml:space="preserve">Datenschutz-Folgenabschätzung) sind alle wesentlichen Informationen zur personenbezogenen Datenverarbeitung in Unternehmen bzw. Behörde </w:t>
      </w:r>
      <w:r w:rsidR="006777B4" w:rsidRPr="00E01F68">
        <w:t>aufbereitet</w:t>
      </w:r>
      <w:r w:rsidRPr="00797CEC">
        <w:t xml:space="preserve">. Es liegt nahe, sie für die Information von Markt und Öffentlichkeit zu nutzen. Soweit es von der Allgemeinheit positiv </w:t>
      </w:r>
      <w:r w:rsidR="00AA4E16" w:rsidRPr="00002A22">
        <w:t xml:space="preserve">beleumundete </w:t>
      </w:r>
      <w:r w:rsidRPr="00002A22">
        <w:t xml:space="preserve">Normwerke von Dritten (Verhaltensregeln, Zertifizierungsvorgaben, Siegel) gibt, können </w:t>
      </w:r>
      <w:r w:rsidRPr="00140FC2">
        <w:t>diese</w:t>
      </w:r>
      <w:r>
        <w:t xml:space="preserve"> </w:t>
      </w:r>
      <w:r w:rsidR="0015317B">
        <w:t>ebenfalls</w:t>
      </w:r>
      <w:r w:rsidRPr="00140FC2">
        <w:t xml:space="preserve"> in die datenschutzkommunikative Öffentlichkeitsarbeit </w:t>
      </w:r>
      <w:r w:rsidR="00AA4E16" w:rsidRPr="00140FC2">
        <w:t xml:space="preserve">eingebaut </w:t>
      </w:r>
      <w:r w:rsidRPr="00140FC2">
        <w:t>werden.</w:t>
      </w:r>
    </w:p>
    <w:p w14:paraId="76A6B8D9" w14:textId="77777777" w:rsidR="00E720F3" w:rsidRDefault="00E720F3" w:rsidP="00140FC2"/>
    <w:p w14:paraId="750E4BA6" w14:textId="77777777" w:rsidR="00E720F3" w:rsidRDefault="00E720F3" w:rsidP="00140FC2"/>
    <w:tbl>
      <w:tblPr>
        <w:tblStyle w:val="Tabellenraster"/>
        <w:tblW w:w="0" w:type="auto"/>
        <w:tblLayout w:type="fixed"/>
        <w:tblLook w:val="04A0" w:firstRow="1" w:lastRow="0" w:firstColumn="1" w:lastColumn="0" w:noHBand="0" w:noVBand="1"/>
      </w:tblPr>
      <w:tblGrid>
        <w:gridCol w:w="9212"/>
      </w:tblGrid>
      <w:tr w:rsidR="00303F5B" w:rsidRPr="00474493" w14:paraId="02FA77C4" w14:textId="77777777" w:rsidTr="00E720F3">
        <w:trPr>
          <w:cantSplit/>
        </w:trPr>
        <w:tc>
          <w:tcPr>
            <w:tcW w:w="9212" w:type="dxa"/>
            <w:noWrap/>
          </w:tcPr>
          <w:p w14:paraId="7FD75590" w14:textId="77777777" w:rsidR="00303F5B" w:rsidRPr="00474493" w:rsidRDefault="00303F5B" w:rsidP="00303F5B">
            <w:pPr>
              <w:rPr>
                <w:b/>
              </w:rPr>
            </w:pPr>
            <w:r w:rsidRPr="00474493">
              <w:rPr>
                <w:b/>
              </w:rPr>
              <w:t>Datenerfassung beim Aufruf von Webseiten</w:t>
            </w:r>
          </w:p>
        </w:tc>
      </w:tr>
      <w:tr w:rsidR="00303F5B" w14:paraId="21E0DE88" w14:textId="77777777" w:rsidTr="00303F5B">
        <w:tc>
          <w:tcPr>
            <w:tcW w:w="9212" w:type="dxa"/>
          </w:tcPr>
          <w:p w14:paraId="5DD156D2" w14:textId="77777777" w:rsidR="00303F5B" w:rsidRDefault="00303F5B" w:rsidP="00303F5B">
            <w:pPr>
              <w:pStyle w:val="Schrifttum"/>
            </w:pPr>
            <w:proofErr w:type="spellStart"/>
            <w:r w:rsidRPr="00474493">
              <w:rPr>
                <w:i/>
              </w:rPr>
              <w:t>Stiemerling</w:t>
            </w:r>
            <w:proofErr w:type="spellEnd"/>
            <w:r w:rsidRPr="00474493">
              <w:rPr>
                <w:i/>
              </w:rPr>
              <w:t>/Lachenmann</w:t>
            </w:r>
            <w:r>
              <w:t>, Erhebung personenbezogener Daten beim Aufruf von Webseiten, ZD [</w:t>
            </w:r>
            <w:r w:rsidRPr="000903C9">
              <w:t>Zeitschrift für Datenschutz</w:t>
            </w:r>
            <w:r>
              <w:t xml:space="preserve">] 2014, S. 133ff. abrufbar unter: </w:t>
            </w:r>
            <w:r w:rsidRPr="000903C9">
              <w:t>http://t1p.de/hc64</w:t>
            </w:r>
            <w:r>
              <w:t xml:space="preserve"> [</w:t>
            </w:r>
            <w:proofErr w:type="spellStart"/>
            <w:r>
              <w:t>beck</w:t>
            </w:r>
            <w:proofErr w:type="spellEnd"/>
            <w:r>
              <w:t>-online, kostenpflichtig]</w:t>
            </w:r>
          </w:p>
          <w:p w14:paraId="42FC8E1C" w14:textId="77777777" w:rsidR="00303F5B" w:rsidRDefault="00303F5B" w:rsidP="00303F5B">
            <w:r>
              <w:t>Schon der Betrieb einer Webseite führt zu teils ungeahnten Verarbeitungsprozessen. Die folgende Liste soll einen Überblick über zu bedenkende Faktoren bieten:</w:t>
            </w:r>
          </w:p>
          <w:p w14:paraId="6DE48E27" w14:textId="77777777" w:rsidR="00303F5B" w:rsidRDefault="00303F5B" w:rsidP="00303F5B"/>
          <w:p w14:paraId="742E6108" w14:textId="77777777" w:rsidR="00303F5B" w:rsidRDefault="00303F5B" w:rsidP="00303F5B">
            <w:pPr>
              <w:pStyle w:val="Listenabsatz"/>
              <w:numPr>
                <w:ilvl w:val="0"/>
                <w:numId w:val="34"/>
              </w:numPr>
            </w:pPr>
            <w:r>
              <w:t>technisch notwendige Daten zum Aufruf der Website (insb. IP-Adresse)</w:t>
            </w:r>
          </w:p>
          <w:p w14:paraId="324D5B48" w14:textId="77777777" w:rsidR="00303F5B" w:rsidRDefault="00303F5B" w:rsidP="00303F5B">
            <w:pPr>
              <w:pStyle w:val="Listenabsatz"/>
              <w:numPr>
                <w:ilvl w:val="0"/>
                <w:numId w:val="34"/>
              </w:numPr>
            </w:pPr>
            <w:r>
              <w:t xml:space="preserve">serverseitig erstellte Logfiles </w:t>
            </w:r>
          </w:p>
          <w:p w14:paraId="5CB397DF" w14:textId="77777777" w:rsidR="00303F5B" w:rsidRDefault="00303F5B" w:rsidP="00303F5B">
            <w:pPr>
              <w:pStyle w:val="Listenabsatz"/>
              <w:numPr>
                <w:ilvl w:val="0"/>
                <w:numId w:val="34"/>
              </w:numPr>
            </w:pPr>
            <w:r>
              <w:t>Temporäre und permanente Browser-Cookies</w:t>
            </w:r>
          </w:p>
          <w:p w14:paraId="70D6211F" w14:textId="77777777" w:rsidR="00303F5B" w:rsidRDefault="00303F5B" w:rsidP="00303F5B">
            <w:pPr>
              <w:pStyle w:val="Listenabsatz"/>
              <w:numPr>
                <w:ilvl w:val="0"/>
                <w:numId w:val="34"/>
              </w:numPr>
            </w:pPr>
            <w:r>
              <w:t>Flash-Cookies</w:t>
            </w:r>
          </w:p>
          <w:p w14:paraId="61C19DAB" w14:textId="77777777" w:rsidR="00303F5B" w:rsidRDefault="00303F5B" w:rsidP="00303F5B">
            <w:pPr>
              <w:pStyle w:val="Listenabsatz"/>
              <w:numPr>
                <w:ilvl w:val="0"/>
                <w:numId w:val="34"/>
              </w:numPr>
            </w:pPr>
            <w:r>
              <w:t>Datenübertragungen an Dritte durch Plug-Ins (insb. sog. Analytics-Anbieter)</w:t>
            </w:r>
          </w:p>
          <w:p w14:paraId="5BCA8941" w14:textId="77777777" w:rsidR="00303F5B" w:rsidRDefault="00303F5B" w:rsidP="00303F5B">
            <w:pPr>
              <w:pStyle w:val="Listenabsatz"/>
              <w:numPr>
                <w:ilvl w:val="0"/>
                <w:numId w:val="34"/>
              </w:numPr>
            </w:pPr>
            <w:r>
              <w:t>Drittanbieter-Cookies (insb. Werbung, Like- oder Teilen-Buttons)</w:t>
            </w:r>
          </w:p>
          <w:p w14:paraId="04005E2E" w14:textId="77777777" w:rsidR="00303F5B" w:rsidRDefault="00303F5B" w:rsidP="00303F5B">
            <w:pPr>
              <w:pStyle w:val="Listenabsatz"/>
              <w:numPr>
                <w:ilvl w:val="0"/>
                <w:numId w:val="34"/>
              </w:numPr>
            </w:pPr>
            <w:r>
              <w:t>Darüber hinaus angeforderte Daten (insb. Anmelde- und Kontaktformulare, Newsletter-Bestellung)</w:t>
            </w:r>
          </w:p>
          <w:p w14:paraId="1D29BCD7" w14:textId="77777777" w:rsidR="00303F5B" w:rsidRDefault="00303F5B" w:rsidP="00303F5B"/>
          <w:p w14:paraId="653E4B6F" w14:textId="3F3FFACD" w:rsidR="00303F5B" w:rsidRDefault="00303F5B" w:rsidP="00303F5B">
            <w:r>
              <w:t xml:space="preserve">Gerade die Zahl von Drittanbieter-Inhalten ist selbst bei als seriös empfunden Websites häufig nicht niedrig. Browser-Erweiterungen wie „u block </w:t>
            </w:r>
            <w:proofErr w:type="spellStart"/>
            <w:r>
              <w:t>origin</w:t>
            </w:r>
            <w:proofErr w:type="spellEnd"/>
            <w:r>
              <w:t>“, „</w:t>
            </w:r>
            <w:proofErr w:type="spellStart"/>
            <w:r>
              <w:t>privacy</w:t>
            </w:r>
            <w:proofErr w:type="spellEnd"/>
            <w:r>
              <w:t xml:space="preserve"> </w:t>
            </w:r>
            <w:proofErr w:type="spellStart"/>
            <w:r>
              <w:t>badger</w:t>
            </w:r>
            <w:proofErr w:type="spellEnd"/>
            <w:r>
              <w:t>“ oder „</w:t>
            </w:r>
            <w:r w:rsidRPr="00E220E9">
              <w:t>CLIQZ</w:t>
            </w:r>
            <w:r>
              <w:t xml:space="preserve">“ können hier einen ersten Anhaltspunkt für die Übermittlungen im Rahmen </w:t>
            </w:r>
            <w:proofErr w:type="gramStart"/>
            <w:r>
              <w:t>der eigenen Webpräsenz</w:t>
            </w:r>
            <w:proofErr w:type="gramEnd"/>
            <w:r>
              <w:t xml:space="preserve"> liefern. Notwendig ist im Anschluss eine Rücksprache mit dem für die technische Umsetzung Betrauten.</w:t>
            </w:r>
          </w:p>
        </w:tc>
      </w:tr>
    </w:tbl>
    <w:p w14:paraId="4FC77316" w14:textId="77777777" w:rsidR="00303F5B" w:rsidRPr="00002A22" w:rsidRDefault="00303F5B" w:rsidP="00140FC2"/>
    <w:p w14:paraId="7D7AB3C6" w14:textId="6F004DB2" w:rsidR="00521CC5" w:rsidRDefault="00521CC5" w:rsidP="00B82172">
      <w:pPr>
        <w:pStyle w:val="berschrift6"/>
        <w:numPr>
          <w:ilvl w:val="5"/>
          <w:numId w:val="33"/>
        </w:numPr>
      </w:pPr>
      <w:bookmarkStart w:id="141" w:name="_Toc512241292"/>
      <w:bookmarkStart w:id="142" w:name="_Toc471812214"/>
      <w:bookmarkStart w:id="143" w:name="_Toc471818781"/>
      <w:bookmarkStart w:id="144" w:name="_Toc471826461"/>
      <w:bookmarkStart w:id="145" w:name="_Toc471828063"/>
      <w:bookmarkStart w:id="146" w:name="_Toc471829420"/>
      <w:r>
        <w:t xml:space="preserve">Verzeichnis der Verarbeitungstätigkeiten (DSGVO), </w:t>
      </w:r>
      <w:r w:rsidR="003A6343">
        <w:t>vorm</w:t>
      </w:r>
      <w:r w:rsidR="00CE2758">
        <w:t xml:space="preserve">. </w:t>
      </w:r>
      <w:r>
        <w:t>Verfahrensverzeichnis (BDSG)</w:t>
      </w:r>
      <w:bookmarkEnd w:id="141"/>
    </w:p>
    <w:p w14:paraId="674FAB30" w14:textId="606AB71A" w:rsidR="00521CC5" w:rsidRDefault="00521CC5" w:rsidP="00521CC5">
      <w:r>
        <w:t>Im ganz ursprünglichen deutschen Datenschutzrecht wie im bisherigen europäischen Datenschutzrecht spielten Meldepflichten (gegenüber den Aufsichtsbehörden) eine wichtige Rolle. Im heutigen und noch geltenden deutschen Datenschutzrecht sind diese Meldepflichten als unnötige Bürokratie weitgehend abgeschafft. Sie bestehen nur noch hinsichtlich besonders risikoreicher Verarbeitungsverfahren (z.B. auch § 73 Abs. 1 S. 3 Messstellenbetriebsgesetz [</w:t>
      </w:r>
      <w:proofErr w:type="spellStart"/>
      <w:r>
        <w:t>MsbG</w:t>
      </w:r>
      <w:proofErr w:type="spellEnd"/>
      <w:r>
        <w:t>]).</w:t>
      </w:r>
    </w:p>
    <w:p w14:paraId="71E15407" w14:textId="77777777" w:rsidR="00521CC5" w:rsidRPr="00866636" w:rsidRDefault="00521CC5" w:rsidP="00521CC5">
      <w:pPr>
        <w:pStyle w:val="berschrift7"/>
      </w:pPr>
      <w:r w:rsidRPr="00866636">
        <w:lastRenderedPageBreak/>
        <w:t xml:space="preserve"> </w:t>
      </w:r>
      <w:bookmarkStart w:id="147" w:name="_Toc512241293"/>
      <w:r>
        <w:t>Pflicht zum Verzeichnis von Verarbeitungstätigkeiten</w:t>
      </w:r>
      <w:bookmarkEnd w:id="147"/>
    </w:p>
    <w:p w14:paraId="6C617FA9" w14:textId="6EEA68D1" w:rsidR="00521CC5" w:rsidRDefault="00521CC5" w:rsidP="00521CC5">
      <w:r>
        <w:t xml:space="preserve">Durch die DSGVO </w:t>
      </w:r>
      <w:r w:rsidR="0021585C">
        <w:t>ist</w:t>
      </w:r>
      <w:r w:rsidR="00EA7F23">
        <w:t xml:space="preserve"> </w:t>
      </w:r>
      <w:r>
        <w:t xml:space="preserve">das </w:t>
      </w:r>
      <w:r w:rsidR="0021585C">
        <w:t xml:space="preserve">bisher </w:t>
      </w:r>
      <w:r>
        <w:t xml:space="preserve">öffentlich zugängliche </w:t>
      </w:r>
      <w:r w:rsidR="0021585C">
        <w:t>Verfahrensverzeichnis</w:t>
      </w:r>
      <w:r>
        <w:t xml:space="preserve"> entfallen. In Art. 30 DSGVO ist nur noch ein sog. Verzeichnis von Verarbeitungstätigkeiten vorgesehen. Es ist als Ausgestaltung der oben bereits erwähnten Rechenschaftspflicht des Verarbeiters aus Art. 5 Abs. 2 DSGVO zu verstehen. Die Anforderungen an das Verfahrensverzeichnis unterscheiden sich dabei kaum von der Regelung des </w:t>
      </w:r>
      <w:r w:rsidR="00810203">
        <w:t xml:space="preserve">früheren </w:t>
      </w:r>
      <w:r>
        <w:t>BDSG. Weniger streng ist die Regelung durch eine teilweise Befreiung für Unternehmen mit weniger als 250 Mitarbeitern. Hier muss ein Verzeichnis nur für besonders risikoreiche, regelmäßig angewandte oder sensitive Daten betreffende Prozesse geführt werden.</w:t>
      </w:r>
      <w:r w:rsidR="00276094">
        <w:t xml:space="preserve"> Soweit im Rahmen des Angebots einer App automatisiert Daten erhoben werden, dürfte eine regelmäßige und nicht nur gelegentliche Datenverarbeitung vorliegen, sodass ein Verfahrensverzeichnis </w:t>
      </w:r>
      <w:r w:rsidR="00B82172">
        <w:t>zu führen</w:t>
      </w:r>
      <w:r w:rsidR="00276094">
        <w:t xml:space="preserve"> ist.</w:t>
      </w:r>
    </w:p>
    <w:p w14:paraId="736B5E9E" w14:textId="27A674CF" w:rsidR="00521CC5" w:rsidRDefault="00521CC5" w:rsidP="00521CC5">
      <w:r>
        <w:t>Neu ist auch die Regelung der Verantwortlichkeit für d</w:t>
      </w:r>
      <w:r w:rsidR="00276094">
        <w:t>ie Führung des Verzeichnisses. F</w:t>
      </w:r>
      <w:r>
        <w:t xml:space="preserve">iel diese Aufgabe bisher noch dem betrieblichen bzw. behördlichen Datenschutzbeauftragten zu, so wird sie durch Art. 30 Abs. 1 DSGVO der Unternehmensleitung zugewiesen. Eine Pflicht zur Führung eines solchen Verzeichnisses legt Art. 30 Abs. 2 DSGVO auch dem </w:t>
      </w:r>
      <w:proofErr w:type="spellStart"/>
      <w:r>
        <w:t>Auftragsverarbeiter</w:t>
      </w:r>
      <w:proofErr w:type="spellEnd"/>
      <w:r>
        <w:t xml:space="preserve"> auf. </w:t>
      </w:r>
    </w:p>
    <w:p w14:paraId="7919C6B6" w14:textId="77777777" w:rsidR="00521CC5" w:rsidRDefault="00521CC5" w:rsidP="00521CC5">
      <w:pPr>
        <w:pStyle w:val="berschrift7"/>
      </w:pPr>
      <w:bookmarkStart w:id="148" w:name="_Toc512241294"/>
      <w:r>
        <w:t>Inhaltliche Anforderungen</w:t>
      </w:r>
      <w:bookmarkEnd w:id="148"/>
    </w:p>
    <w:p w14:paraId="6CE922EF" w14:textId="766FB9FF" w:rsidR="00521CC5" w:rsidRDefault="00521CC5" w:rsidP="00521CC5">
      <w:r>
        <w:t xml:space="preserve">Die genauen Inhalte des Verzeichnisses werden in Art. 30 Abs. 1 </w:t>
      </w:r>
      <w:proofErr w:type="spellStart"/>
      <w:r>
        <w:t>lit</w:t>
      </w:r>
      <w:proofErr w:type="spellEnd"/>
      <w:r>
        <w:t>. a</w:t>
      </w:r>
      <w:r w:rsidR="00810203">
        <w:t>–</w:t>
      </w:r>
      <w:r>
        <w:t xml:space="preserve">g DSGVO für den Verantwortlichen und in Art. 30 Abs. 2 </w:t>
      </w:r>
      <w:proofErr w:type="spellStart"/>
      <w:r>
        <w:t>lit</w:t>
      </w:r>
      <w:proofErr w:type="spellEnd"/>
      <w:r>
        <w:t xml:space="preserve">. a–d DSGVO für den </w:t>
      </w:r>
      <w:proofErr w:type="spellStart"/>
      <w:r>
        <w:t>Auftragsverarbeiter</w:t>
      </w:r>
      <w:proofErr w:type="spellEnd"/>
      <w:r>
        <w:t xml:space="preserve"> detailliert aufgeführt. </w:t>
      </w:r>
      <w:r w:rsidR="00276094">
        <w:t>Hervorzuheben ist im Besonderen, dass die Verarbeitungszwecke in dem Verfahrensverzeichnis festgelegt werden müssen. Das heißt</w:t>
      </w:r>
      <w:r w:rsidR="00961E4D">
        <w:t>,</w:t>
      </w:r>
      <w:r w:rsidR="00276094">
        <w:t xml:space="preserve"> der Verarbeiter muss sich über das „</w:t>
      </w:r>
      <w:r w:rsidR="00961E4D">
        <w:t>O</w:t>
      </w:r>
      <w:r w:rsidR="00276094">
        <w:t>b“ und „</w:t>
      </w:r>
      <w:r w:rsidR="00961E4D">
        <w:t>W</w:t>
      </w:r>
      <w:r w:rsidR="00276094">
        <w:t>arum“ der Erhebung persönlicher Informationen Gedanken machen.</w:t>
      </w:r>
    </w:p>
    <w:p w14:paraId="46EE1D8A" w14:textId="5EC3A8D3" w:rsidR="00521CC5" w:rsidRDefault="00521CC5" w:rsidP="00521CC5">
      <w:r>
        <w:t xml:space="preserve">Durch die rein interne Verwendung erlischt die rechtliche Pflicht zur Kommunikation gegenüber Betroffenen und der Öffentlichkeit. Der Akzent liegt hier nunmehr wie auch schon bei der Folgenabschätzung primär auf einer rechtssicheren Kommunikation im Hinblick auf mögliche Prüfungen </w:t>
      </w:r>
      <w:r w:rsidR="00276094">
        <w:t>der Aufsichtsbehörden.</w:t>
      </w:r>
      <w:r>
        <w:t xml:space="preserve"> </w:t>
      </w:r>
      <w:r w:rsidR="00276094">
        <w:t>Ein fehlendes notwendiges Verfahrensverzeichnis kann von der Aufsichtsbehörde sanktioniert werden (Art. 83 Abs. 4 DSGVO).</w:t>
      </w:r>
    </w:p>
    <w:p w14:paraId="37F01492" w14:textId="77777777" w:rsidR="00521CC5" w:rsidRDefault="00521CC5" w:rsidP="00521CC5">
      <w:pPr>
        <w:pStyle w:val="berschrift7"/>
      </w:pPr>
      <w:bookmarkStart w:id="149" w:name="_Toc512241295"/>
      <w:r>
        <w:t>Verwendung in der Datenschutzkommunikation</w:t>
      </w:r>
      <w:bookmarkEnd w:id="149"/>
    </w:p>
    <w:p w14:paraId="1051EBED" w14:textId="34B01F3C" w:rsidR="00521CC5" w:rsidRDefault="00521CC5" w:rsidP="00521CC5">
      <w:r>
        <w:t xml:space="preserve">Es besteht aber freilich weiterhin die Möglichkeit, die ohnehin zu führenden und zu pflegenden Verarbeitungsverzeichnisse als Grundlage zur Erstellung umfassender und kommunikationswissenschaftlich fundierter Privacy </w:t>
      </w:r>
      <w:proofErr w:type="spellStart"/>
      <w:r>
        <w:t>Policies</w:t>
      </w:r>
      <w:proofErr w:type="spellEnd"/>
      <w:r>
        <w:t xml:space="preserve"> mit Werbewirkung zu nutzen. Im Rahmen der unten dargestellten </w:t>
      </w:r>
      <w:r w:rsidRPr="00F93002">
        <w:t>I</w:t>
      </w:r>
      <w:r w:rsidR="00276094" w:rsidRPr="00F93002">
        <w:t>nformierungspflichten (III.)</w:t>
      </w:r>
      <w:r w:rsidR="00276094">
        <w:t xml:space="preserve"> sind teilweise</w:t>
      </w:r>
      <w:r>
        <w:t xml:space="preserve"> auch Angaben über Art und Umfang der Verarbeitung rechtlich vorgeschrieben, die auf der Grundlage des Verarbeitungsverzeichnisses aufgearbeitet werden können.</w:t>
      </w:r>
    </w:p>
    <w:p w14:paraId="5FC8C6C1" w14:textId="584812E4" w:rsidR="00495506" w:rsidRDefault="00495506" w:rsidP="00190D81">
      <w:pPr>
        <w:pStyle w:val="berschrift6"/>
      </w:pPr>
      <w:bookmarkStart w:id="150" w:name="_Toc512241296"/>
      <w:r>
        <w:t>Datenschutz-Folgenabschätzung (</w:t>
      </w:r>
      <w:r w:rsidRPr="00D41333">
        <w:t>Art. 35 DSGVO</w:t>
      </w:r>
      <w:r>
        <w:t>)</w:t>
      </w:r>
      <w:bookmarkEnd w:id="140"/>
      <w:bookmarkEnd w:id="142"/>
      <w:bookmarkEnd w:id="143"/>
      <w:bookmarkEnd w:id="144"/>
      <w:bookmarkEnd w:id="145"/>
      <w:bookmarkEnd w:id="146"/>
      <w:bookmarkEnd w:id="150"/>
    </w:p>
    <w:p w14:paraId="50E19A8A" w14:textId="0FB9500F" w:rsidR="008409D8" w:rsidRDefault="008409D8" w:rsidP="00B42108">
      <w:pPr>
        <w:pStyle w:val="Schrifttum"/>
        <w:jc w:val="left"/>
        <w:rPr>
          <w:i/>
        </w:rPr>
      </w:pPr>
      <w:r w:rsidRPr="00EE1999">
        <w:rPr>
          <w:i/>
        </w:rPr>
        <w:t>Wright/Finn/Rodrigues</w:t>
      </w:r>
      <w:r w:rsidRPr="00A053EE">
        <w:t>,</w:t>
      </w:r>
      <w:r w:rsidR="006F573E" w:rsidRPr="00EE1999">
        <w:t xml:space="preserve"> A </w:t>
      </w:r>
      <w:proofErr w:type="spellStart"/>
      <w:r w:rsidR="006F573E" w:rsidRPr="00EE1999">
        <w:t>Comparative</w:t>
      </w:r>
      <w:proofErr w:type="spellEnd"/>
      <w:r w:rsidR="006F573E" w:rsidRPr="00EE1999">
        <w:t xml:space="preserve"> Analysis </w:t>
      </w:r>
      <w:proofErr w:type="spellStart"/>
      <w:r w:rsidR="006F573E" w:rsidRPr="00EE1999">
        <w:t>of</w:t>
      </w:r>
      <w:proofErr w:type="spellEnd"/>
      <w:r w:rsidR="006F573E" w:rsidRPr="00EE1999">
        <w:t xml:space="preserve"> Privacy Impact Assessment in Six Countries, in:</w:t>
      </w:r>
      <w:r w:rsidRPr="00A053EE">
        <w:t xml:space="preserve"> Journal </w:t>
      </w:r>
      <w:proofErr w:type="spellStart"/>
      <w:r w:rsidRPr="00A053EE">
        <w:t>of</w:t>
      </w:r>
      <w:proofErr w:type="spellEnd"/>
      <w:r w:rsidRPr="00A053EE">
        <w:t xml:space="preserve"> Contemporary European Research 9</w:t>
      </w:r>
      <w:r w:rsidR="00F543EE">
        <w:t>/1 (</w:t>
      </w:r>
      <w:r w:rsidRPr="00A053EE">
        <w:t>2013</w:t>
      </w:r>
      <w:r w:rsidR="00F543EE">
        <w:t>)</w:t>
      </w:r>
      <w:r w:rsidRPr="00A053EE">
        <w:t>, S. 160 ff</w:t>
      </w:r>
      <w:r w:rsidR="006F573E">
        <w:t>.</w:t>
      </w:r>
      <w:r w:rsidR="00EB67A0">
        <w:t xml:space="preserve"> abrufbar unter </w:t>
      </w:r>
      <w:r w:rsidR="00EB67A0" w:rsidRPr="00EB67A0">
        <w:t>http://</w:t>
      </w:r>
      <w:r w:rsidR="00FF7734" w:rsidRPr="00FF7734">
        <w:t>t1p.de/dico</w:t>
      </w:r>
      <w:r w:rsidR="00FF7734">
        <w:t xml:space="preserve"> [JCER, kostenfrei]</w:t>
      </w:r>
    </w:p>
    <w:p w14:paraId="55D4E4A8" w14:textId="557AA06C" w:rsidR="00495506" w:rsidRDefault="00495506" w:rsidP="00495506">
      <w:r w:rsidRPr="00EB022C">
        <w:t>D</w:t>
      </w:r>
      <w:r w:rsidR="00EA7322">
        <w:t>urch d</w:t>
      </w:r>
      <w:r w:rsidRPr="00EB022C">
        <w:t>ie Datenschutz-Folgenabschätzung (engl.</w:t>
      </w:r>
      <w:r w:rsidR="00F543EE">
        <w:t>:</w:t>
      </w:r>
      <w:r w:rsidRPr="00EB022C">
        <w:t xml:space="preserve"> „</w:t>
      </w:r>
      <w:r w:rsidRPr="0084767B">
        <w:rPr>
          <w:lang w:val="en-GB"/>
        </w:rPr>
        <w:t>privacy impact assessment</w:t>
      </w:r>
      <w:r w:rsidRPr="00EB022C">
        <w:t xml:space="preserve">“) </w:t>
      </w:r>
      <w:r w:rsidR="00EA7322">
        <w:t>i</w:t>
      </w:r>
      <w:r w:rsidRPr="00EB022C">
        <w:t>n Art.</w:t>
      </w:r>
      <w:r w:rsidR="00F543EE">
        <w:t> </w:t>
      </w:r>
      <w:r w:rsidR="00DD6318" w:rsidRPr="00EB022C">
        <w:t>35</w:t>
      </w:r>
      <w:r w:rsidR="00F543EE">
        <w:t xml:space="preserve"> </w:t>
      </w:r>
      <w:r w:rsidRPr="00EB022C">
        <w:t>DSGVO wird den Verantwortlichen aufgetragen, bei Verarbeitung</w:t>
      </w:r>
      <w:r w:rsidR="00217091">
        <w:t>en</w:t>
      </w:r>
      <w:r w:rsidRPr="00EB022C">
        <w:t xml:space="preserve"> mit einem hohen Risiko </w:t>
      </w:r>
      <w:r>
        <w:t xml:space="preserve">die Folgen für </w:t>
      </w:r>
      <w:r w:rsidR="00217091">
        <w:t xml:space="preserve">personenbezogene </w:t>
      </w:r>
      <w:r>
        <w:t xml:space="preserve">Daten </w:t>
      </w:r>
      <w:r w:rsidR="00FC588D">
        <w:t>im Voraus einzuschätzen</w:t>
      </w:r>
      <w:r>
        <w:t xml:space="preserve">. Art, Umfang, Umstände und Zweck der Verarbeitung </w:t>
      </w:r>
      <w:r w:rsidR="0014445D">
        <w:t xml:space="preserve">sind </w:t>
      </w:r>
      <w:r w:rsidR="00AA115A">
        <w:t>hier</w:t>
      </w:r>
      <w:r w:rsidR="0014445D">
        <w:t xml:space="preserve"> Parameter</w:t>
      </w:r>
      <w:r>
        <w:t xml:space="preserve">, </w:t>
      </w:r>
      <w:r w:rsidR="0014445D">
        <w:t xml:space="preserve">nach denen sich ein </w:t>
      </w:r>
      <w:r>
        <w:t xml:space="preserve">Risiko </w:t>
      </w:r>
      <w:r w:rsidR="0014445D">
        <w:t>bemisst</w:t>
      </w:r>
      <w:r>
        <w:t xml:space="preserve">. Explizit nennt die DSGVO auch noch die Verwendung neuer Technologien. Risiken sollen erkannt und </w:t>
      </w:r>
      <w:r w:rsidR="0014445D">
        <w:t xml:space="preserve">dann </w:t>
      </w:r>
      <w:r>
        <w:t xml:space="preserve">schon im Vorfeld der Verarbeitung durch geeignete Maßnahmen möglichst reduziert werden. </w:t>
      </w:r>
      <w:r w:rsidR="0014445D">
        <w:t xml:space="preserve">Gefordert </w:t>
      </w:r>
      <w:r w:rsidR="00AA115A">
        <w:t>wird</w:t>
      </w:r>
      <w:r w:rsidR="000A7DE1">
        <w:t xml:space="preserve"> eine vertretbare Risikobewertung auf Basis der </w:t>
      </w:r>
      <w:r w:rsidR="00002A21">
        <w:t>zum Zeitpunkt der Vornahme</w:t>
      </w:r>
      <w:r w:rsidR="000A7DE1">
        <w:t xml:space="preserve"> vorhandenen Informationen.</w:t>
      </w:r>
    </w:p>
    <w:p w14:paraId="049D609E" w14:textId="448559D6" w:rsidR="00BB7672" w:rsidRDefault="00BB7672" w:rsidP="00BB7672">
      <w:pPr>
        <w:pStyle w:val="berschrift7"/>
      </w:pPr>
      <w:bookmarkStart w:id="151" w:name="_Toc471812215"/>
      <w:bookmarkStart w:id="152" w:name="_Toc471818782"/>
      <w:bookmarkStart w:id="153" w:name="_Toc471826462"/>
      <w:bookmarkStart w:id="154" w:name="_Toc471828064"/>
      <w:bookmarkStart w:id="155" w:name="_Toc471829421"/>
      <w:bookmarkStart w:id="156" w:name="_Toc512241297"/>
      <w:r>
        <w:lastRenderedPageBreak/>
        <w:t>Verfahren</w:t>
      </w:r>
      <w:bookmarkEnd w:id="151"/>
      <w:bookmarkEnd w:id="152"/>
      <w:bookmarkEnd w:id="153"/>
      <w:bookmarkEnd w:id="154"/>
      <w:bookmarkEnd w:id="155"/>
      <w:bookmarkEnd w:id="156"/>
    </w:p>
    <w:p w14:paraId="6354DF84" w14:textId="5C692ACC" w:rsidR="00495506" w:rsidRDefault="00495506" w:rsidP="00495506">
      <w:r>
        <w:t>Die ordnungsgemäße Durchführung einer Datenschutz-Folge</w:t>
      </w:r>
      <w:r w:rsidR="00E26336">
        <w:t>n</w:t>
      </w:r>
      <w:r>
        <w:t xml:space="preserve">abschätzung wird vom </w:t>
      </w:r>
      <w:r w:rsidR="00FC588D">
        <w:t xml:space="preserve">betrieblichen bzw. behördlichen </w:t>
      </w:r>
      <w:r>
        <w:t xml:space="preserve">Datenschutzbeauftragten überwacht. </w:t>
      </w:r>
      <w:r w:rsidR="0015317B">
        <w:t>Eine spätere</w:t>
      </w:r>
      <w:r>
        <w:t xml:space="preserve"> Prüfung durch die</w:t>
      </w:r>
      <w:r w:rsidR="00F57070">
        <w:t xml:space="preserve"> Aufsichtsbehörden ist möglich.</w:t>
      </w:r>
    </w:p>
    <w:p w14:paraId="5579AE2F" w14:textId="3786E9F9" w:rsidR="00495506" w:rsidRDefault="00FF79D2" w:rsidP="00495506">
      <w:r>
        <w:t>Das vorgeschriebene Verfahren sieht dabei schon kommunikative Elemente vor</w:t>
      </w:r>
      <w:r w:rsidR="000A7DE1">
        <w:t>:</w:t>
      </w:r>
      <w:r w:rsidR="00495506">
        <w:t xml:space="preserve"> Einmal ist nach Art. 35 Abs. 2 DSGVO in jedem Fall auf Anfrage eine Beratung durch den </w:t>
      </w:r>
      <w:r w:rsidR="00137111">
        <w:t xml:space="preserve">betrieblichen bzw. behördlichen </w:t>
      </w:r>
      <w:r w:rsidR="00495506">
        <w:t xml:space="preserve">Datenschutzbeauftragen möglich. </w:t>
      </w:r>
      <w:r w:rsidR="00137111">
        <w:t>H</w:t>
      </w:r>
      <w:r w:rsidR="00495506">
        <w:t xml:space="preserve">ier lassen sich </w:t>
      </w:r>
      <w:r w:rsidR="00137111">
        <w:t xml:space="preserve">schon </w:t>
      </w:r>
      <w:r w:rsidR="00495506">
        <w:t>im Vorfeld geeignete Maßnahmen besprechen.</w:t>
      </w:r>
    </w:p>
    <w:p w14:paraId="381C2687" w14:textId="21CB99B4" w:rsidR="00495506" w:rsidRDefault="00495506" w:rsidP="00495506">
      <w:r>
        <w:t xml:space="preserve">In bestimmten Fällen ist die Konsultation der Aufsichtsbehörden bei Erstellung der Datenschutz-Folgenabschätzung verpflichtend. Dies ist nach Art. 36 Abs. 1 DSGVO der Fall, wenn am Ende der Abschätzung ein hohes Risiko angenommen wird und die Verantwortliche Stelle nicht selber schon geeignete Maßnahmen zur Eindämmung trifft. Eine frühzeitige Abklärung möglicher Probleme als Grundgedanke der Folgenabschätzung kann gerade auch durch die Konsultation der Aufsichtsbehörden </w:t>
      </w:r>
      <w:r w:rsidR="00F758A6">
        <w:t>langfristig Verstöße vermeiden.</w:t>
      </w:r>
    </w:p>
    <w:p w14:paraId="2AFEE0A3" w14:textId="56D615A2" w:rsidR="00495506" w:rsidRDefault="00495506" w:rsidP="00495506">
      <w:r>
        <w:t>In Einzelfällen kann nach Art. 35 Abs. 9</w:t>
      </w:r>
      <w:r w:rsidR="004D767B">
        <w:t xml:space="preserve"> DSGVO</w:t>
      </w:r>
      <w:r>
        <w:t xml:space="preserve"> die Konsultation der Betroffenen notwendig werden. Dem Wortlaut der Norm nach scheint aber wohl ein Einholen der Standpunkte und eine Auseinandersetzung mit diesen zu genügen. Zwingend scheint die Konsultation </w:t>
      </w:r>
      <w:r w:rsidR="0015317B">
        <w:t>jedoch</w:t>
      </w:r>
      <w:r>
        <w:t xml:space="preserve"> nicht immer zu sein („gegebenenfalls“). G</w:t>
      </w:r>
      <w:r w:rsidR="00EC33C5">
        <w:t>e</w:t>
      </w:r>
      <w:r>
        <w:t>rade bei größeren Gruppen von Betroffenen kann die Regelung kaum als Erfordernis eines direkten Kontakts mit den Personen, sondern nur als Möglichkeit der Einbeziehung von Interessenverbänden sinnvoll angewendet werden.</w:t>
      </w:r>
    </w:p>
    <w:p w14:paraId="0EFC8DA8" w14:textId="67FB7052" w:rsidR="00495506" w:rsidRDefault="00BB7672" w:rsidP="00BB7672">
      <w:pPr>
        <w:pStyle w:val="berschrift7"/>
      </w:pPr>
      <w:bookmarkStart w:id="157" w:name="_Toc471812216"/>
      <w:bookmarkStart w:id="158" w:name="_Toc471818783"/>
      <w:bookmarkStart w:id="159" w:name="_Toc471826463"/>
      <w:bookmarkStart w:id="160" w:name="_Toc471828065"/>
      <w:bookmarkStart w:id="161" w:name="_Toc471829422"/>
      <w:bookmarkStart w:id="162" w:name="_Toc512241298"/>
      <w:r>
        <w:t>Inhaltliche Anforderungen</w:t>
      </w:r>
      <w:bookmarkEnd w:id="157"/>
      <w:bookmarkEnd w:id="158"/>
      <w:bookmarkEnd w:id="159"/>
      <w:bookmarkEnd w:id="160"/>
      <w:bookmarkEnd w:id="161"/>
      <w:bookmarkEnd w:id="162"/>
    </w:p>
    <w:p w14:paraId="3410F160" w14:textId="08DE5CF1" w:rsidR="00356158" w:rsidRDefault="00356158" w:rsidP="00356158">
      <w:pPr>
        <w:pStyle w:val="Schrifttum"/>
      </w:pPr>
      <w:r>
        <w:rPr>
          <w:i/>
        </w:rPr>
        <w:t>Polnische</w:t>
      </w:r>
      <w:r w:rsidRPr="00356158">
        <w:rPr>
          <w:i/>
        </w:rPr>
        <w:t xml:space="preserve"> </w:t>
      </w:r>
      <w:r>
        <w:rPr>
          <w:i/>
        </w:rPr>
        <w:t xml:space="preserve">Datenschutzaufsichtsbehörde, </w:t>
      </w:r>
      <w:r>
        <w:t xml:space="preserve">Liste der Verarbeitungen, für die eine Datenschutzfolge-Abschätzung notwendig ist, abrufbar unter </w:t>
      </w:r>
      <w:r w:rsidRPr="00356158">
        <w:t>http://t1p.de/v47m</w:t>
      </w:r>
      <w:r>
        <w:t xml:space="preserve"> [in englischer Sprache]</w:t>
      </w:r>
    </w:p>
    <w:p w14:paraId="2D18F1D9" w14:textId="281197FF" w:rsidR="00356158" w:rsidRPr="00356158" w:rsidRDefault="00356158" w:rsidP="00356158">
      <w:pPr>
        <w:pStyle w:val="Schrifttum"/>
      </w:pPr>
      <w:r w:rsidRPr="00356158">
        <w:rPr>
          <w:i/>
        </w:rPr>
        <w:t>Belgische Datenschutzaufsichtsbehörde</w:t>
      </w:r>
      <w:r>
        <w:t xml:space="preserve">, </w:t>
      </w:r>
      <w:r w:rsidRPr="00356158">
        <w:t>Liste der Verarbeitungen, für die eine Date</w:t>
      </w:r>
      <w:r>
        <w:t>nschutzfolge-Abschätzung notwen</w:t>
      </w:r>
      <w:r w:rsidRPr="00356158">
        <w:t xml:space="preserve">dig ist, abrufbar unter http://t1p.de/1uk4 [in </w:t>
      </w:r>
      <w:r>
        <w:t>französischer</w:t>
      </w:r>
      <w:r w:rsidRPr="00356158">
        <w:t xml:space="preserve"> Sprache]</w:t>
      </w:r>
    </w:p>
    <w:p w14:paraId="09D3219A" w14:textId="643F39FD" w:rsidR="00495506" w:rsidRDefault="00495506" w:rsidP="00495506">
      <w:r>
        <w:t>Die Vorgaben der DSGVO für die Datenschutz-Folge</w:t>
      </w:r>
      <w:r w:rsidR="0096798B">
        <w:t>n</w:t>
      </w:r>
      <w:r>
        <w:t xml:space="preserve">abschätzung sind dabei zu weiten Teilen organisatorischer Natur. Die inhaltlichen und damit für das Thema der Kommunikation entscheidenden Voraussetzungen finden sich vor allem in Art. 35 Abs. 7 DSGVO. So sollen die geplanten Verarbeitungsvorgänge, die Zwecke der Verarbeitung und ggf. die berechtigten Interessen des Verarbeiters „systematisch“ beschrieben werden. Hier ist rechtlich vor allem auf die Abarbeitung der Mindestinhalte in Art. 35 Abs. 7 </w:t>
      </w:r>
      <w:proofErr w:type="spellStart"/>
      <w:r>
        <w:t>lit</w:t>
      </w:r>
      <w:proofErr w:type="spellEnd"/>
      <w:r>
        <w:t>. b–d DSGVO zu achten und technisch auf genaue Beschreibungen der Vorgänge. Da es sich bei der Folge</w:t>
      </w:r>
      <w:r w:rsidR="0096798B">
        <w:t>n</w:t>
      </w:r>
      <w:r>
        <w:t xml:space="preserve">abschätzung nicht um ein öffentlich zugängliches Dokument handelt, </w:t>
      </w:r>
      <w:r w:rsidR="002A7D4C">
        <w:t xml:space="preserve">muss </w:t>
      </w:r>
      <w:r>
        <w:t xml:space="preserve">die Transparenz und Verständlichkeit </w:t>
      </w:r>
      <w:r w:rsidR="002A7D4C">
        <w:t xml:space="preserve">aus rechtlicher Sicht nicht auf den </w:t>
      </w:r>
      <w:r>
        <w:t>Durchschnittsleser</w:t>
      </w:r>
      <w:r w:rsidR="00855235">
        <w:t xml:space="preserve"> </w:t>
      </w:r>
      <w:r w:rsidR="002A7D4C">
        <w:t>abstellen</w:t>
      </w:r>
      <w:r>
        <w:t xml:space="preserve">. Zielgruppe der Kommunikation sind hier vor allem fachlich vorgebildete Datenschutzbeauftragte und Aufsichtsbehörden. </w:t>
      </w:r>
    </w:p>
    <w:p w14:paraId="03BCD3EF" w14:textId="54928F6C" w:rsidR="00495506" w:rsidRDefault="00495506" w:rsidP="00495506">
      <w:r>
        <w:t>In der einschlägigen Fachliteratur wird bis zur Entwicklung einer eigenen Praxis unter der DSGVO bisweilen die Orientierung an der Praxis anderer Länder mit bereits existierenden Regelungen oder an für andere Bereiche bestehende Leitfäden wie dem „Standard-Datenschutzmodell“ der Datenschutzbeauftragten von Bund und Ländern</w:t>
      </w:r>
      <w:r w:rsidR="005A6265">
        <w:t xml:space="preserve"> (verfügbar unter </w:t>
      </w:r>
      <w:r w:rsidR="005A6265" w:rsidRPr="00BE0B06">
        <w:t>https://datenschutzzentrum.de/uploads/SDM-Methode_V_1_0.pdf</w:t>
      </w:r>
      <w:r w:rsidR="00961E4D">
        <w:t xml:space="preserve">) </w:t>
      </w:r>
      <w:r>
        <w:t>angeraten.</w:t>
      </w:r>
      <w:r w:rsidRPr="008413A9">
        <w:t xml:space="preserve"> </w:t>
      </w:r>
      <w:r>
        <w:t>Abzuwarten bleiben die nach Art. 35 Abs. 4 u. Abs. 5 DSGVO möglichen Positiv- und Negativlisten der Aufsichtsbehörden: Für bestimmte Verarbeitungsprozesse kann mithilfe diese</w:t>
      </w:r>
      <w:r w:rsidR="00C57E23">
        <w:t>s</w:t>
      </w:r>
      <w:r>
        <w:t xml:space="preserve"> Instruments eine Folgenabschätzung immer verpflichtend beziehungsweise dauerhaft entbehrlich werden. </w:t>
      </w:r>
      <w:r w:rsidR="00356158">
        <w:t xml:space="preserve">Einige Beispiele finden Sie in der vorangestellten Literaturliste dieses Abschnitts. </w:t>
      </w:r>
      <w:r>
        <w:t>Diese könnten bei der Abgrenzung von Verarbeitungen mit und ohne hohem Risiko für eine höhere Rechtssicherheit sorgen.</w:t>
      </w:r>
    </w:p>
    <w:p w14:paraId="60064453" w14:textId="3AA2D8B0" w:rsidR="00495506" w:rsidRDefault="000E0181" w:rsidP="005B03F0">
      <w:pPr>
        <w:pStyle w:val="berschrift7"/>
      </w:pPr>
      <w:bookmarkStart w:id="163" w:name="_Toc471812217"/>
      <w:bookmarkStart w:id="164" w:name="_Toc471818784"/>
      <w:bookmarkStart w:id="165" w:name="_Toc471826464"/>
      <w:bookmarkStart w:id="166" w:name="_Toc471828066"/>
      <w:bookmarkStart w:id="167" w:name="_Toc471829423"/>
      <w:bookmarkStart w:id="168" w:name="_Toc512241299"/>
      <w:r>
        <w:lastRenderedPageBreak/>
        <w:t>Verwendung in der Datenschutzkommunikation</w:t>
      </w:r>
      <w:bookmarkEnd w:id="163"/>
      <w:bookmarkEnd w:id="164"/>
      <w:bookmarkEnd w:id="165"/>
      <w:bookmarkEnd w:id="166"/>
      <w:bookmarkEnd w:id="167"/>
      <w:bookmarkEnd w:id="168"/>
    </w:p>
    <w:p w14:paraId="6B78167E" w14:textId="77777777" w:rsidR="00495506" w:rsidRDefault="00495506" w:rsidP="00495506">
      <w:r>
        <w:t xml:space="preserve">Hier ist es natürlich möglich, die ohnehin aus rechtlicher Sicht obligatorisch zu erstellenden Unterlagen und die darin enthaltenen Informationen als Grundlage für die Ausarbeitung von weitergehenden werbewirksamen Dokumenten wie Privacy </w:t>
      </w:r>
      <w:proofErr w:type="spellStart"/>
      <w:r>
        <w:t>Policies</w:t>
      </w:r>
      <w:proofErr w:type="spellEnd"/>
      <w:r>
        <w:t xml:space="preserve"> zu nutzen.</w:t>
      </w:r>
    </w:p>
    <w:p w14:paraId="19B3D15F" w14:textId="3A7F684F" w:rsidR="00FF79D2" w:rsidRDefault="00FF79D2" w:rsidP="00495506">
      <w:r>
        <w:t xml:space="preserve">Der </w:t>
      </w:r>
      <w:r w:rsidR="00625FC3">
        <w:t xml:space="preserve">Aufwand </w:t>
      </w:r>
      <w:r>
        <w:t xml:space="preserve">für die Verantwortliche Stelle ist durch die Nutzung der vorhandenen Datengrundlage vergleichsweise gering. Die Darstellung des Prozesses einer Risikoabschätzung und </w:t>
      </w:r>
      <w:r w:rsidR="00625FC3">
        <w:t xml:space="preserve">der </w:t>
      </w:r>
      <w:r>
        <w:t>Vorfeldmaßnahmen zum Schutz der Betroffenen</w:t>
      </w:r>
      <w:r w:rsidR="00625FC3">
        <w:t>d</w:t>
      </w:r>
      <w:r>
        <w:t xml:space="preserve">aten ist aber in hohem Maße geeignet, das Vertrauen der Kunden </w:t>
      </w:r>
      <w:r w:rsidR="00625FC3">
        <w:t xml:space="preserve">und Bürger </w:t>
      </w:r>
      <w:r>
        <w:t xml:space="preserve">zu wecken. </w:t>
      </w:r>
    </w:p>
    <w:p w14:paraId="3F450D83" w14:textId="0D4F4FAF" w:rsidR="00FF79D2" w:rsidRDefault="001300AD" w:rsidP="00495506">
      <w:r>
        <w:t>Sinnvoll könn</w:t>
      </w:r>
      <w:r w:rsidR="008A18F5">
        <w:t>t</w:t>
      </w:r>
      <w:r w:rsidR="00696F91">
        <w:t xml:space="preserve">e jedoch </w:t>
      </w:r>
      <w:r>
        <w:t xml:space="preserve">eine Dosierung der </w:t>
      </w:r>
      <w:r w:rsidR="00FF79D2">
        <w:t>Mitteilung möglicher Risiken</w:t>
      </w:r>
      <w:r w:rsidR="0021585C">
        <w:t xml:space="preserve"> sein</w:t>
      </w:r>
      <w:r w:rsidR="00FF79D2">
        <w:t xml:space="preserve">, um die Verarbeitung nicht zu kritisch erscheinen zu lassen, sowie ein Verzicht auf eine zu detailgetreue Schilderung </w:t>
      </w:r>
      <w:r>
        <w:t>von spezifischen IT-Risiken sein</w:t>
      </w:r>
      <w:r w:rsidR="00FF79D2">
        <w:t xml:space="preserve">, um nicht die Gefahr eines </w:t>
      </w:r>
      <w:r w:rsidR="001836CF">
        <w:t xml:space="preserve">hierauf aufbauenden </w:t>
      </w:r>
      <w:r w:rsidR="00FF79D2">
        <w:t>Angriffs auf die IT-Infrastruktur zu schaffen.</w:t>
      </w:r>
    </w:p>
    <w:p w14:paraId="782D0273" w14:textId="6D5CF173" w:rsidR="00190D81" w:rsidRDefault="00190D81" w:rsidP="00DC7166">
      <w:pPr>
        <w:pStyle w:val="berschrift5"/>
      </w:pPr>
      <w:bookmarkStart w:id="169" w:name="_Toc469776783"/>
      <w:bookmarkStart w:id="170" w:name="_Toc471812222"/>
      <w:bookmarkStart w:id="171" w:name="_Toc471818789"/>
      <w:bookmarkStart w:id="172" w:name="_Toc471826469"/>
      <w:bookmarkStart w:id="173" w:name="_Toc471828071"/>
      <w:bookmarkStart w:id="174" w:name="_Toc471829428"/>
      <w:bookmarkStart w:id="175" w:name="_Toc512241300"/>
      <w:r>
        <w:t>Übernahme von externen Standards</w:t>
      </w:r>
      <w:bookmarkEnd w:id="169"/>
      <w:bookmarkEnd w:id="170"/>
      <w:bookmarkEnd w:id="171"/>
      <w:bookmarkEnd w:id="172"/>
      <w:bookmarkEnd w:id="173"/>
      <w:bookmarkEnd w:id="174"/>
      <w:bookmarkEnd w:id="175"/>
    </w:p>
    <w:p w14:paraId="31BB15B1" w14:textId="0130483F" w:rsidR="00E51BCC" w:rsidRPr="00E51BCC" w:rsidRDefault="00E51BCC" w:rsidP="00E51BCC">
      <w:r>
        <w:t>Man unterscheidet im europäischen Recht wie bisher im deutschen Datenschutzrecht zwischen sog. Verhaltensregeln (</w:t>
      </w:r>
      <w:r w:rsidR="00D57E94">
        <w:t>Art. 40 DSGVO</w:t>
      </w:r>
      <w:r>
        <w:t>), bei denen es sich um datenschutzrechtliche Regeln handelt, die von B</w:t>
      </w:r>
      <w:r w:rsidR="00696F91">
        <w:t>ranchen</w:t>
      </w:r>
      <w:r>
        <w:t>verbänden oder anderen Vereinigungen entworfen werden und von der Aussichtsbehörde geprüft werden</w:t>
      </w:r>
      <w:r w:rsidR="00416C6A">
        <w:t>,</w:t>
      </w:r>
      <w:r>
        <w:t xml:space="preserve"> und sog. Unternehmensregelungen</w:t>
      </w:r>
      <w:r w:rsidR="00383F59">
        <w:t xml:space="preserve"> (engl. „Binding Corporate Rules“)</w:t>
      </w:r>
      <w:r>
        <w:t xml:space="preserve">, die nach </w:t>
      </w:r>
      <w:r w:rsidR="00AE6CC6">
        <w:t>Art. 47 DSGVO</w:t>
      </w:r>
      <w:r w:rsidR="00EA7F23">
        <w:t xml:space="preserve"> </w:t>
      </w:r>
      <w:r>
        <w:t>für die grenzüberschreitende Übermittlung von Daten entworfen und durch die Aufsichtsbehörde genehmigt</w:t>
      </w:r>
      <w:r w:rsidR="00AE6CC6">
        <w:t xml:space="preserve"> werden können</w:t>
      </w:r>
      <w:r w:rsidR="009A3C47">
        <w:t>.</w:t>
      </w:r>
    </w:p>
    <w:p w14:paraId="7382576C" w14:textId="75E219BB" w:rsidR="00190D81" w:rsidRDefault="00190D81" w:rsidP="00190D81">
      <w:pPr>
        <w:pStyle w:val="berschrift6"/>
      </w:pPr>
      <w:bookmarkStart w:id="176" w:name="_Toc469776784"/>
      <w:bookmarkStart w:id="177" w:name="_Toc471812223"/>
      <w:bookmarkStart w:id="178" w:name="_Toc471818790"/>
      <w:bookmarkStart w:id="179" w:name="_Toc471826470"/>
      <w:bookmarkStart w:id="180" w:name="_Toc471828072"/>
      <w:bookmarkStart w:id="181" w:name="_Toc471829429"/>
      <w:bookmarkStart w:id="182" w:name="_Toc512241301"/>
      <w:r>
        <w:t>Verhaltensregeln („Code</w:t>
      </w:r>
      <w:r w:rsidR="007E55A5">
        <w:t>s</w:t>
      </w:r>
      <w:r>
        <w:t xml:space="preserve"> </w:t>
      </w:r>
      <w:proofErr w:type="spellStart"/>
      <w:r>
        <w:t>of</w:t>
      </w:r>
      <w:proofErr w:type="spellEnd"/>
      <w:r>
        <w:t xml:space="preserve"> </w:t>
      </w:r>
      <w:proofErr w:type="spellStart"/>
      <w:r>
        <w:t>Conduct</w:t>
      </w:r>
      <w:proofErr w:type="spellEnd"/>
      <w:r>
        <w:t>“) (Art. 40 DSGVO)</w:t>
      </w:r>
      <w:bookmarkEnd w:id="176"/>
      <w:bookmarkEnd w:id="177"/>
      <w:bookmarkEnd w:id="178"/>
      <w:bookmarkEnd w:id="179"/>
      <w:bookmarkEnd w:id="180"/>
      <w:bookmarkEnd w:id="181"/>
      <w:bookmarkEnd w:id="182"/>
    </w:p>
    <w:p w14:paraId="509EB8DC" w14:textId="3F2054F2" w:rsidR="0042010C" w:rsidRDefault="008178B5" w:rsidP="0042010C">
      <w:r>
        <w:t>„</w:t>
      </w:r>
      <w:r w:rsidR="00190D81">
        <w:t xml:space="preserve">Codes </w:t>
      </w:r>
      <w:proofErr w:type="spellStart"/>
      <w:r w:rsidR="00190D81">
        <w:t>of</w:t>
      </w:r>
      <w:proofErr w:type="spellEnd"/>
      <w:r w:rsidR="00190D81">
        <w:t xml:space="preserve"> </w:t>
      </w:r>
      <w:proofErr w:type="spellStart"/>
      <w:r w:rsidR="00190D81">
        <w:t>Conduct</w:t>
      </w:r>
      <w:proofErr w:type="spellEnd"/>
      <w:r>
        <w:t>“</w:t>
      </w:r>
      <w:r w:rsidR="00190D81">
        <w:t xml:space="preserve"> stamm</w:t>
      </w:r>
      <w:r w:rsidR="00053B17">
        <w:t>en</w:t>
      </w:r>
      <w:r w:rsidR="00190D81">
        <w:t xml:space="preserve"> aus dem </w:t>
      </w:r>
      <w:r w:rsidR="000E0181">
        <w:t xml:space="preserve">stark </w:t>
      </w:r>
      <w:r w:rsidR="00190D81">
        <w:t>auf Selbstregulierung ausgerichteten Recht der Vereinigten Staaten, ha</w:t>
      </w:r>
      <w:r w:rsidR="00053B17">
        <w:t>ben</w:t>
      </w:r>
      <w:r w:rsidR="00190D81">
        <w:t xml:space="preserve"> aber in Teilbereichen Entsprechungen im europäischen und deutschen Recht. Die deutsche </w:t>
      </w:r>
      <w:r w:rsidR="000E0181">
        <w:t xml:space="preserve">Fassung </w:t>
      </w:r>
      <w:r w:rsidR="00190D81">
        <w:t xml:space="preserve">der DSGVO verwendet hierfür den Begriff „Verhaltensregeln“. </w:t>
      </w:r>
    </w:p>
    <w:p w14:paraId="0D939AB5" w14:textId="48912E85" w:rsidR="005848BD" w:rsidRDefault="00CE05E3" w:rsidP="005848BD">
      <w:pPr>
        <w:pStyle w:val="berschrift7"/>
      </w:pPr>
      <w:bookmarkStart w:id="183" w:name="_Toc471812224"/>
      <w:bookmarkStart w:id="184" w:name="_Toc471818791"/>
      <w:bookmarkStart w:id="185" w:name="_Toc471826471"/>
      <w:bookmarkStart w:id="186" w:name="_Toc471828073"/>
      <w:bookmarkStart w:id="187" w:name="_Toc471829430"/>
      <w:bookmarkStart w:id="188" w:name="_Toc512241302"/>
      <w:r w:rsidRPr="00E45BBE">
        <w:t>Verfahren</w:t>
      </w:r>
      <w:bookmarkEnd w:id="183"/>
      <w:bookmarkEnd w:id="184"/>
      <w:bookmarkEnd w:id="185"/>
      <w:bookmarkEnd w:id="186"/>
      <w:bookmarkEnd w:id="187"/>
      <w:bookmarkEnd w:id="188"/>
    </w:p>
    <w:p w14:paraId="5D5354F0" w14:textId="4514EFB2" w:rsidR="00C045D1" w:rsidRPr="005D6710" w:rsidRDefault="00E45BBE" w:rsidP="005D6710">
      <w:r w:rsidRPr="005D6710">
        <w:t>Zwar kann ein Branchenverband grundsätzlich ohne Beachtung bestimmter Vorgaben Selbstverpflichtungen für seine Mitglieder entwerfen und intern für verbindlich erklären</w:t>
      </w:r>
      <w:r w:rsidR="009D4D2A">
        <w:t>. D</w:t>
      </w:r>
      <w:r w:rsidRPr="005D6710">
        <w:t xml:space="preserve">ie </w:t>
      </w:r>
      <w:r w:rsidR="009D4D2A">
        <w:t xml:space="preserve">im Datenschutzrecht </w:t>
      </w:r>
      <w:r w:rsidRPr="005D6710">
        <w:t>für Verhaltensregeln vorgesehenen Rechtswirkungen treten aber nur ein, wenn das in Art. 40 DSGVO</w:t>
      </w:r>
      <w:r w:rsidR="00EA7F23">
        <w:t xml:space="preserve"> </w:t>
      </w:r>
      <w:r w:rsidRPr="005D6710">
        <w:t xml:space="preserve">vorgesehene Verfahren zum Erlass solcher Codes </w:t>
      </w:r>
      <w:proofErr w:type="spellStart"/>
      <w:r w:rsidRPr="005D6710">
        <w:t>of</w:t>
      </w:r>
      <w:proofErr w:type="spellEnd"/>
      <w:r w:rsidRPr="005D6710">
        <w:t xml:space="preserve"> </w:t>
      </w:r>
      <w:proofErr w:type="spellStart"/>
      <w:r w:rsidRPr="005D6710">
        <w:t>Conduct</w:t>
      </w:r>
      <w:proofErr w:type="spellEnd"/>
      <w:r w:rsidRPr="005D6710">
        <w:t xml:space="preserve"> eingehalten wird.</w:t>
      </w:r>
    </w:p>
    <w:p w14:paraId="3581F545" w14:textId="7A0FA3A2" w:rsidR="00E45BBE" w:rsidRPr="005D6710" w:rsidRDefault="00C045D1" w:rsidP="005D6710">
      <w:r w:rsidRPr="005D6710">
        <w:t>Nicht jeder kann danach Verhaltensregeln in Zusammenarbeit mit den Aufsic</w:t>
      </w:r>
      <w:r w:rsidR="009D4D2A">
        <w:t xml:space="preserve">htsbehörden aufstellen. Art. 40 </w:t>
      </w:r>
      <w:r w:rsidRPr="005D6710">
        <w:t>Abs. 2 u</w:t>
      </w:r>
      <w:r w:rsidR="007E55A5">
        <w:t>.</w:t>
      </w:r>
      <w:r w:rsidRPr="005D6710">
        <w:t xml:space="preserve"> 5 DSGVO beschränken diese Möglichkeit auf </w:t>
      </w:r>
      <w:r w:rsidRPr="00BF1C86">
        <w:t>„Verbände und andere Vereinigungen“. Branchen- und Berufsverbände werden dadurch unproblematisch erfasst</w:t>
      </w:r>
      <w:r w:rsidR="009255B1">
        <w:t>, Konzerne möglicherweise nicht</w:t>
      </w:r>
      <w:r w:rsidRPr="00BF1C86">
        <w:t xml:space="preserve">. Die Bedeutung und Größe </w:t>
      </w:r>
      <w:r w:rsidR="008178B5">
        <w:t>sind</w:t>
      </w:r>
      <w:r w:rsidRPr="00BF1C86">
        <w:t xml:space="preserve"> dabei </w:t>
      </w:r>
      <w:r w:rsidR="009255B1">
        <w:t xml:space="preserve">jedenfalls </w:t>
      </w:r>
      <w:r w:rsidRPr="00BF1C86">
        <w:t>nicht relevant.</w:t>
      </w:r>
    </w:p>
    <w:p w14:paraId="1A8F1983" w14:textId="188E1BB3" w:rsidR="00BF1C86" w:rsidRDefault="00C045D1" w:rsidP="005D6710">
      <w:r w:rsidRPr="005D6710">
        <w:t xml:space="preserve">Die Genehmigung wird grundsätzlich nach 40 Abs. 5 DSGVO von der </w:t>
      </w:r>
      <w:r w:rsidR="009255B1">
        <w:t xml:space="preserve">mitgliedstaatlichen </w:t>
      </w:r>
      <w:r w:rsidRPr="005D6710">
        <w:t>Aufsichtsbehörde am Sitz des Antragstellers erteilt. Sollen sich die Regelungen au</w:t>
      </w:r>
      <w:r w:rsidR="007E55A5">
        <w:t>f</w:t>
      </w:r>
      <w:r w:rsidRPr="005D6710">
        <w:t xml:space="preserve"> Datenverarbeitungen in mehreren Mitgliedsstaaten der EU beziehen, so muss die </w:t>
      </w:r>
      <w:r w:rsidR="009255B1">
        <w:t xml:space="preserve">mitgliedstaatliche </w:t>
      </w:r>
      <w:r w:rsidRPr="005D6710">
        <w:t xml:space="preserve">Aufsichtsbehörde zusätzlich eine Genehmigung des </w:t>
      </w:r>
      <w:r w:rsidR="009255B1">
        <w:t>E</w:t>
      </w:r>
      <w:r w:rsidRPr="005D6710">
        <w:t xml:space="preserve">uropäischen Datenausschusses einholen (40 Abs. </w:t>
      </w:r>
      <w:r w:rsidR="00DC715F">
        <w:t>7</w:t>
      </w:r>
      <w:r w:rsidR="007E513F">
        <w:t xml:space="preserve"> DSGVO</w:t>
      </w:r>
      <w:r w:rsidRPr="005D6710">
        <w:t>).</w:t>
      </w:r>
    </w:p>
    <w:p w14:paraId="7ED27646" w14:textId="77777777" w:rsidR="00A6169A" w:rsidRDefault="00546237" w:rsidP="005D6710">
      <w:r w:rsidRPr="005D6710">
        <w:t>Werden die Verhaltensregeln von der Aufsichtsbehörde genehmigt, so sind damit Rechtswirkungen verbunden.</w:t>
      </w:r>
      <w:r w:rsidR="00512794">
        <w:t xml:space="preserve"> </w:t>
      </w:r>
      <w:r w:rsidRPr="005D6710">
        <w:t xml:space="preserve">An zahlreichen Stellen sind bei der Befolgung eines Code </w:t>
      </w:r>
      <w:proofErr w:type="spellStart"/>
      <w:r w:rsidRPr="005D6710">
        <w:t>of</w:t>
      </w:r>
      <w:proofErr w:type="spellEnd"/>
      <w:r w:rsidRPr="005D6710">
        <w:t xml:space="preserve"> </w:t>
      </w:r>
      <w:proofErr w:type="spellStart"/>
      <w:r w:rsidRPr="005D6710">
        <w:t>Conduct</w:t>
      </w:r>
      <w:proofErr w:type="spellEnd"/>
      <w:r w:rsidRPr="005D6710">
        <w:t xml:space="preserve"> Erleichterungen für den Nachweis der Einhaltung der Regelungen der DSGVO vorgesehen. Auch wird angenommen, dass die Aufsichtsbehörden durch ihre Genehmigung zumindest bei präzisen Regelungen später einer gewissen Bindung an die dort getroffenen</w:t>
      </w:r>
      <w:r>
        <w:t xml:space="preserve"> </w:t>
      </w:r>
      <w:r>
        <w:lastRenderedPageBreak/>
        <w:t xml:space="preserve">Auslegungen unterliegen. Praktisch dürfte dies durch die </w:t>
      </w:r>
      <w:r w:rsidR="00301B85">
        <w:t>Kommunikation</w:t>
      </w:r>
      <w:r>
        <w:t xml:space="preserve"> während der Erstellung solcher Verhaltensregeln noch viel stärker der Fall sein. </w:t>
      </w:r>
    </w:p>
    <w:p w14:paraId="411BB38A" w14:textId="574ABB89" w:rsidR="00A6169A" w:rsidRDefault="00A6169A" w:rsidP="00FD33A9">
      <w:r w:rsidRPr="00A6169A">
        <w:t xml:space="preserve">Ohne eine weitere Umsetzung innerhalb des Verbandes haben </w:t>
      </w:r>
      <w:r>
        <w:t xml:space="preserve">Codes </w:t>
      </w:r>
      <w:proofErr w:type="spellStart"/>
      <w:r>
        <w:t>of</w:t>
      </w:r>
      <w:proofErr w:type="spellEnd"/>
      <w:r>
        <w:t xml:space="preserve"> </w:t>
      </w:r>
      <w:proofErr w:type="spellStart"/>
      <w:r>
        <w:t>Conduct</w:t>
      </w:r>
      <w:proofErr w:type="spellEnd"/>
      <w:r>
        <w:t xml:space="preserve"> jedoch</w:t>
      </w:r>
      <w:r w:rsidR="002A1808">
        <w:t xml:space="preserve"> </w:t>
      </w:r>
      <w:r w:rsidRPr="00A6169A">
        <w:t xml:space="preserve">überhaupt keine weitere Rechtsqualität und können insbesondere keine Ansprüche für Betroffene begründen. </w:t>
      </w:r>
      <w:r w:rsidRPr="005C057C">
        <w:t xml:space="preserve">Je nach Umsetzung können diese aber zumindest dadurch verbandsintern Verbindlichkeit erlangen, dass sich die Mitglieder </w:t>
      </w:r>
      <w:r w:rsidR="008A18F5" w:rsidRPr="005C057C">
        <w:t>diese</w:t>
      </w:r>
      <w:r w:rsidR="008A18F5">
        <w:t>n</w:t>
      </w:r>
      <w:r w:rsidR="008A18F5" w:rsidRPr="005C057C">
        <w:t xml:space="preserve"> </w:t>
      </w:r>
      <w:r w:rsidRPr="005C057C">
        <w:t xml:space="preserve">durch Beitritt oder Zustimmung freiwillig unterwerfen. </w:t>
      </w:r>
      <w:r w:rsidRPr="00A6169A">
        <w:t>Selbst diese beschränkte Verbindlichkeit ist aber keinesfalls unumstritten. Hierzu müsste von einem erhöhten Interesse des Verbandes an der Einhaltung der datenschutzbezogenen Verhaltensregeln auszugehen sein, was sich nicht für jede Branche pauschal bejahen lässt.</w:t>
      </w:r>
    </w:p>
    <w:p w14:paraId="22BBE9B9" w14:textId="29F346D8" w:rsidR="00CE05E3" w:rsidRPr="00CE05E3" w:rsidRDefault="00CE05E3" w:rsidP="005B5C7A">
      <w:pPr>
        <w:pStyle w:val="berschrift7"/>
      </w:pPr>
      <w:bookmarkStart w:id="189" w:name="_Toc471812225"/>
      <w:bookmarkStart w:id="190" w:name="_Toc471818792"/>
      <w:bookmarkStart w:id="191" w:name="_Toc471826472"/>
      <w:bookmarkStart w:id="192" w:name="_Toc471828074"/>
      <w:bookmarkStart w:id="193" w:name="_Toc471829431"/>
      <w:bookmarkStart w:id="194" w:name="_Toc512241303"/>
      <w:r>
        <w:t>Möglicher Inhalt</w:t>
      </w:r>
      <w:bookmarkEnd w:id="189"/>
      <w:bookmarkEnd w:id="190"/>
      <w:bookmarkEnd w:id="191"/>
      <w:bookmarkEnd w:id="192"/>
      <w:bookmarkEnd w:id="193"/>
      <w:bookmarkEnd w:id="194"/>
    </w:p>
    <w:p w14:paraId="0FB577CF" w14:textId="56678D99" w:rsidR="00190D81" w:rsidRDefault="00190D81" w:rsidP="00190D81">
      <w:r>
        <w:t xml:space="preserve">Codes </w:t>
      </w:r>
      <w:proofErr w:type="spellStart"/>
      <w:r>
        <w:t>of</w:t>
      </w:r>
      <w:proofErr w:type="spellEnd"/>
      <w:r>
        <w:t xml:space="preserve"> </w:t>
      </w:r>
      <w:proofErr w:type="spellStart"/>
      <w:r>
        <w:t>Conduct</w:t>
      </w:r>
      <w:proofErr w:type="spellEnd"/>
      <w:r>
        <w:t xml:space="preserve"> enthalten meist Erklärungen über die Werte und Geschäftspraktiken. Sie zeichnen ein Bild des Unternehmens und können zu den angestrebten Datenschutzstandards Stellung beziehen.</w:t>
      </w:r>
      <w:r w:rsidR="00AA577D">
        <w:t xml:space="preserve"> </w:t>
      </w:r>
      <w:r>
        <w:t xml:space="preserve">Sinn und Zweck solcher Verhaltensregeln ist die Anpassung der oft </w:t>
      </w:r>
      <w:r w:rsidR="000A0F1C">
        <w:t xml:space="preserve">abstrakten und generellen </w:t>
      </w:r>
      <w:r>
        <w:t xml:space="preserve">gesetzlichen Vorgaben an die speziellen Bedürfnisse einer Branche. Die Überprüfung durch die Aufsichtsbehörden führt dabei zwar nicht zu einer Verbindlichkeit der Regelungen, wohl aber zu einer gewissen </w:t>
      </w:r>
      <w:r w:rsidR="00AA577D">
        <w:t>Orientierung an</w:t>
      </w:r>
      <w:r>
        <w:t xml:space="preserve"> d</w:t>
      </w:r>
      <w:r w:rsidR="00533373">
        <w:t>i</w:t>
      </w:r>
      <w:r>
        <w:t xml:space="preserve">e dort vorgenommenen Auslegungen. </w:t>
      </w:r>
      <w:r w:rsidR="00223C47">
        <w:t>Genaue Mindestinhalte sind für die Verhaltensregeln aber in der DSGVO nicht vorgegeben.</w:t>
      </w:r>
    </w:p>
    <w:p w14:paraId="039C8CE5" w14:textId="1540868A" w:rsidR="00190D81" w:rsidRDefault="00190D81" w:rsidP="00190D81">
      <w:r>
        <w:t xml:space="preserve">Mögliche Inhalte sind in Art. 40 Abs. 2 </w:t>
      </w:r>
      <w:proofErr w:type="spellStart"/>
      <w:r>
        <w:t>lit</w:t>
      </w:r>
      <w:proofErr w:type="spellEnd"/>
      <w:r>
        <w:t xml:space="preserve">. a–k </w:t>
      </w:r>
      <w:r w:rsidR="00EF7239">
        <w:t xml:space="preserve">DSGVO </w:t>
      </w:r>
      <w:r>
        <w:t>beispielhaft aufgezählt. Im Wesentlichen steht die Konkretisierung von Generalklauseln und Anpassung an verarbeitungsbezogene Besonderheiten der jeweiligen Branche im Vordergrund.</w:t>
      </w:r>
    </w:p>
    <w:p w14:paraId="549A0076" w14:textId="741039B1" w:rsidR="00190D81" w:rsidRDefault="00CE05E3" w:rsidP="005B5C7A">
      <w:pPr>
        <w:pStyle w:val="berschrift7"/>
      </w:pPr>
      <w:bookmarkStart w:id="195" w:name="_Toc471812226"/>
      <w:bookmarkStart w:id="196" w:name="_Toc471818793"/>
      <w:bookmarkStart w:id="197" w:name="_Toc471826473"/>
      <w:bookmarkStart w:id="198" w:name="_Toc471828075"/>
      <w:bookmarkStart w:id="199" w:name="_Toc471829432"/>
      <w:bookmarkStart w:id="200" w:name="_Toc512241304"/>
      <w:r>
        <w:t>Verwendung in der Datenschutzkommunikation</w:t>
      </w:r>
      <w:bookmarkEnd w:id="195"/>
      <w:bookmarkEnd w:id="196"/>
      <w:bookmarkEnd w:id="197"/>
      <w:bookmarkEnd w:id="198"/>
      <w:bookmarkEnd w:id="199"/>
      <w:bookmarkEnd w:id="200"/>
    </w:p>
    <w:p w14:paraId="53C0068A" w14:textId="69095C4C" w:rsidR="00EF7239" w:rsidRDefault="00190D81" w:rsidP="00190D81">
      <w:r>
        <w:t xml:space="preserve">Die Möglichkeiten </w:t>
      </w:r>
      <w:r w:rsidR="00C045D1">
        <w:t xml:space="preserve">zur Aufstellung solcher Verhaltensregeln </w:t>
      </w:r>
      <w:r>
        <w:t xml:space="preserve">werden zwar </w:t>
      </w:r>
      <w:r w:rsidR="00533373">
        <w:t xml:space="preserve">vereinzelt </w:t>
      </w:r>
      <w:r>
        <w:t xml:space="preserve">genutzt, von einer weiten Verbreitung lässt sich aber aufgrund der überschaubaren Zahl von Fällen </w:t>
      </w:r>
      <w:r w:rsidR="00546237">
        <w:t xml:space="preserve">bisher </w:t>
      </w:r>
      <w:r>
        <w:t>kaum sprechen.</w:t>
      </w:r>
      <w:r w:rsidR="003B2DC1">
        <w:t xml:space="preserve"> </w:t>
      </w:r>
      <w:r w:rsidR="00C045D1">
        <w:t>Durch die detaillierteren Regeln der DSGVO zum Genehmigungsverfahren und auch durch die genauere Betrachtung der Rechtsfolgen wird dieses Instrument der „regulierten Selbstregulierung“ aber für die Zukunft deutlich gestärkt.</w:t>
      </w:r>
    </w:p>
    <w:p w14:paraId="0778BB0E" w14:textId="5DAFFD93" w:rsidR="007D2477" w:rsidRDefault="00546237" w:rsidP="00190D81">
      <w:r>
        <w:t>Eine Veröffentlichung und Kommunikation obliegt nicht nur den d</w:t>
      </w:r>
      <w:r w:rsidR="00EF7239">
        <w:t>ies</w:t>
      </w:r>
      <w:r>
        <w:t>en Verhaltensregeln unterworfenen Stellen</w:t>
      </w:r>
      <w:r w:rsidR="00533373">
        <w:t>.</w:t>
      </w:r>
      <w:r>
        <w:t xml:space="preserve"> Nach Art. 40 Abs. 6 DSGVO sind diese schon von den</w:t>
      </w:r>
      <w:r w:rsidR="007D2477">
        <w:t xml:space="preserve"> Aufsichtsbehörden in ein Verzeichnis aufzunehmen und zu veröffentlichen. </w:t>
      </w:r>
    </w:p>
    <w:p w14:paraId="79379477" w14:textId="6374E5D3" w:rsidR="008764A2" w:rsidRDefault="007D2477" w:rsidP="008764A2">
      <w:r>
        <w:t xml:space="preserve">Ein Verweis auf dieses Verzeichnis kann innerhalb der eigenen Kommunikation mit </w:t>
      </w:r>
      <w:r w:rsidR="005B44BA">
        <w:t xml:space="preserve">der </w:t>
      </w:r>
      <w:r>
        <w:t>Öffentlichkeit positiv genutzt werden</w:t>
      </w:r>
      <w:r w:rsidR="009E0354">
        <w:t>, indem die Prüfung durch die Aufsichtsbehörde herausgestellt wird</w:t>
      </w:r>
      <w:r>
        <w:t>.</w:t>
      </w:r>
      <w:r w:rsidR="002C453A">
        <w:t xml:space="preserve"> </w:t>
      </w:r>
      <w:r w:rsidR="008764A2">
        <w:t xml:space="preserve">Dabei steht es im Belieben des einzelnen Verarbeiters, ob er die Existenz eines Code </w:t>
      </w:r>
      <w:proofErr w:type="spellStart"/>
      <w:r w:rsidR="008764A2">
        <w:t>of</w:t>
      </w:r>
      <w:proofErr w:type="spellEnd"/>
      <w:r w:rsidR="008764A2">
        <w:t xml:space="preserve"> </w:t>
      </w:r>
      <w:proofErr w:type="spellStart"/>
      <w:r w:rsidR="008764A2">
        <w:t>Conduct</w:t>
      </w:r>
      <w:proofErr w:type="spellEnd"/>
      <w:r w:rsidR="008764A2">
        <w:t xml:space="preserve"> und dessen Inhalte innerhalb der eigenen Werbestrategie weiter ausnutzt und durch explizite Hinweise darauf zusätzliche positive Wettbewerbseffekte generiert.</w:t>
      </w:r>
    </w:p>
    <w:p w14:paraId="04C386EF" w14:textId="77777777" w:rsidR="00190D81" w:rsidRDefault="00F44832" w:rsidP="00190D81">
      <w:r>
        <w:t>Und auch wenn a</w:t>
      </w:r>
      <w:r w:rsidR="003B2DC1">
        <w:t xml:space="preserve">us Sicht des </w:t>
      </w:r>
      <w:r w:rsidR="008764A2">
        <w:t xml:space="preserve">jeweiligen </w:t>
      </w:r>
      <w:r w:rsidR="003B2DC1">
        <w:t>Verarbeiters</w:t>
      </w:r>
      <w:r w:rsidR="00B108E4">
        <w:t xml:space="preserve"> branchenweite Übereinkünfte keine individuellen </w:t>
      </w:r>
      <w:r>
        <w:t xml:space="preserve">positiven </w:t>
      </w:r>
      <w:r w:rsidR="00B108E4">
        <w:t xml:space="preserve">Vorteile </w:t>
      </w:r>
      <w:r>
        <w:t xml:space="preserve">in der Datenschutzkommunikation </w:t>
      </w:r>
      <w:r w:rsidR="00B108E4">
        <w:t>generieren</w:t>
      </w:r>
      <w:r>
        <w:t xml:space="preserve">, dienen sie aber </w:t>
      </w:r>
      <w:r w:rsidR="00C045D1">
        <w:t xml:space="preserve">zumindest </w:t>
      </w:r>
      <w:r w:rsidR="00B108E4">
        <w:t>eine</w:t>
      </w:r>
      <w:r w:rsidR="005B44BA">
        <w:t>r</w:t>
      </w:r>
      <w:r w:rsidR="00B108E4">
        <w:t xml:space="preserve"> Abgrenzung von „schwarzen Schafen“ in einem möglicherweise von den Verbrauchern grundsätzlich als eher wenig vertrauenswürdig eingestuften Sektors. </w:t>
      </w:r>
    </w:p>
    <w:p w14:paraId="5C1C288F" w14:textId="77777777" w:rsidR="00B108E4" w:rsidRDefault="00B108E4" w:rsidP="00190D81">
      <w:r>
        <w:t xml:space="preserve">Langfristig </w:t>
      </w:r>
      <w:r w:rsidR="00955E1D">
        <w:t>kann</w:t>
      </w:r>
      <w:r>
        <w:t xml:space="preserve"> durch Codes </w:t>
      </w:r>
      <w:proofErr w:type="spellStart"/>
      <w:r>
        <w:t>of</w:t>
      </w:r>
      <w:proofErr w:type="spellEnd"/>
      <w:r>
        <w:t xml:space="preserve"> </w:t>
      </w:r>
      <w:proofErr w:type="spellStart"/>
      <w:r>
        <w:t>Conduct</w:t>
      </w:r>
      <w:proofErr w:type="spellEnd"/>
      <w:r w:rsidR="00B96671">
        <w:t>,</w:t>
      </w:r>
      <w:r>
        <w:t xml:space="preserve"> neben der Schaffung von mehr Rechtssicherheit für die beteiligten Verarbeiter</w:t>
      </w:r>
      <w:r w:rsidR="00B96671">
        <w:t xml:space="preserve">, </w:t>
      </w:r>
      <w:r>
        <w:t>das Vertrauen des Verbrauchers in die Gesamtbranche gesteigert werden.</w:t>
      </w:r>
      <w:r w:rsidR="00CF5DEF">
        <w:t xml:space="preserve"> </w:t>
      </w:r>
    </w:p>
    <w:p w14:paraId="368610A1" w14:textId="3F4CD675" w:rsidR="00546237" w:rsidRDefault="00D11D29" w:rsidP="00190D81">
      <w:r>
        <w:t>Schließlich soll</w:t>
      </w:r>
      <w:r w:rsidR="005B44BA">
        <w:t>te</w:t>
      </w:r>
      <w:r w:rsidR="00546237">
        <w:t xml:space="preserve"> auch </w:t>
      </w:r>
      <w:r w:rsidR="005B44BA">
        <w:t>der</w:t>
      </w:r>
      <w:r w:rsidR="00546237">
        <w:t xml:space="preserve"> Aspekt der Kommunikation mit der Aufsichtsbehörde während des Genehmigungsprozesses nicht vernachlässigt werden. Hier besteht die Möglichkeit einer sehr gezielten Lobby-Arbeit, um die Generalklauseln der DSGVO für die Gegebenheiten in der eigenen Branche </w:t>
      </w:r>
      <w:r>
        <w:t>handhabbar</w:t>
      </w:r>
      <w:r w:rsidR="00546237">
        <w:t xml:space="preserve"> zu machen. </w:t>
      </w:r>
    </w:p>
    <w:p w14:paraId="4A55B935" w14:textId="6AA736AE" w:rsidR="00F2595D" w:rsidRDefault="00F2595D" w:rsidP="005B5C7A">
      <w:pPr>
        <w:pStyle w:val="berschrift6"/>
      </w:pPr>
      <w:bookmarkStart w:id="201" w:name="_Toc471812227"/>
      <w:bookmarkStart w:id="202" w:name="_Toc471818794"/>
      <w:bookmarkStart w:id="203" w:name="_Toc471826474"/>
      <w:bookmarkStart w:id="204" w:name="_Toc471828076"/>
      <w:bookmarkStart w:id="205" w:name="_Toc471829433"/>
      <w:bookmarkStart w:id="206" w:name="_Toc512241305"/>
      <w:r w:rsidRPr="00223C47">
        <w:lastRenderedPageBreak/>
        <w:t>Binding Corporate Rules</w:t>
      </w:r>
      <w:bookmarkEnd w:id="201"/>
      <w:bookmarkEnd w:id="202"/>
      <w:bookmarkEnd w:id="203"/>
      <w:bookmarkEnd w:id="204"/>
      <w:bookmarkEnd w:id="205"/>
      <w:bookmarkEnd w:id="206"/>
    </w:p>
    <w:p w14:paraId="64704492" w14:textId="6F52B9C8" w:rsidR="00AE37F1" w:rsidRDefault="00AE37F1" w:rsidP="00EF7239">
      <w:r>
        <w:t xml:space="preserve">Binding Corporate Rules oder „verbindliche interne Datenschutzvorschriften“ unterscheiden sich in diversen zentralen Punkten von Codes </w:t>
      </w:r>
      <w:proofErr w:type="spellStart"/>
      <w:r>
        <w:t>of</w:t>
      </w:r>
      <w:proofErr w:type="spellEnd"/>
      <w:r>
        <w:t xml:space="preserve"> </w:t>
      </w:r>
      <w:proofErr w:type="spellStart"/>
      <w:r>
        <w:t>Conduct</w:t>
      </w:r>
      <w:proofErr w:type="spellEnd"/>
      <w:r>
        <w:t>. Für diese enthält Art. 4 Nr. 20 DSGVO sogar eine Definition.</w:t>
      </w:r>
    </w:p>
    <w:p w14:paraId="61E6D3A8" w14:textId="16A1B602" w:rsidR="00AE37F1" w:rsidRPr="00AE37F1" w:rsidRDefault="00AE37F1" w:rsidP="00EF7239">
      <w:r>
        <w:t xml:space="preserve">Anders als Codes </w:t>
      </w:r>
      <w:proofErr w:type="spellStart"/>
      <w:r>
        <w:t>of</w:t>
      </w:r>
      <w:proofErr w:type="spellEnd"/>
      <w:r>
        <w:t xml:space="preserve"> </w:t>
      </w:r>
      <w:proofErr w:type="spellStart"/>
      <w:r>
        <w:t>Conduct</w:t>
      </w:r>
      <w:proofErr w:type="spellEnd"/>
      <w:r>
        <w:t xml:space="preserve"> werden Binding Corporate Rules jeweils nur für die interne Datenweitergabe in einem Unternehmen oder einer Unternehmensgruppe erlassen. Auch der Anwendungsbereich ist deutlich begrenzter: Geregelt wird hier lediglich der Datentransfer in Länder außerhalb der </w:t>
      </w:r>
      <w:r w:rsidR="00D11D29">
        <w:t>EU (</w:t>
      </w:r>
      <w:r>
        <w:t>sog. Drittländer</w:t>
      </w:r>
      <w:r w:rsidR="00D11D29">
        <w:t>)</w:t>
      </w:r>
      <w:r>
        <w:t>. Sie sollen die Daten innerhalb des Unternehmens grenzüberschreitend verfügbar machen können.</w:t>
      </w:r>
    </w:p>
    <w:p w14:paraId="2BE9A786" w14:textId="7C1DD6D4" w:rsidR="00E2234F" w:rsidRPr="00223C47" w:rsidRDefault="00E2234F" w:rsidP="005B5C7A">
      <w:pPr>
        <w:pStyle w:val="berschrift7"/>
      </w:pPr>
      <w:bookmarkStart w:id="207" w:name="_Toc471812228"/>
      <w:bookmarkStart w:id="208" w:name="_Toc471818795"/>
      <w:bookmarkStart w:id="209" w:name="_Toc471826475"/>
      <w:bookmarkStart w:id="210" w:name="_Toc471828077"/>
      <w:bookmarkStart w:id="211" w:name="_Toc471829434"/>
      <w:bookmarkStart w:id="212" w:name="_Toc512241306"/>
      <w:r w:rsidRPr="00223C47">
        <w:t>Verfahren</w:t>
      </w:r>
      <w:bookmarkEnd w:id="207"/>
      <w:bookmarkEnd w:id="208"/>
      <w:bookmarkEnd w:id="209"/>
      <w:bookmarkEnd w:id="210"/>
      <w:bookmarkEnd w:id="211"/>
      <w:bookmarkEnd w:id="212"/>
    </w:p>
    <w:p w14:paraId="254CE773" w14:textId="54D022D9" w:rsidR="00093A95" w:rsidRDefault="00EC5589" w:rsidP="00EF7239">
      <w:r>
        <w:t>Die</w:t>
      </w:r>
      <w:r w:rsidR="00AE37F1">
        <w:t xml:space="preserve"> verbindlichen internen Vorschriften sind</w:t>
      </w:r>
      <w:r>
        <w:t xml:space="preserve"> ebenfalls</w:t>
      </w:r>
      <w:r w:rsidR="00AE37F1">
        <w:t xml:space="preserve"> von der zuständigen Aufsichtsbehörde </w:t>
      </w:r>
      <w:r w:rsidR="00093A95">
        <w:t xml:space="preserve">zu genehmigen. Bei Niederlassungen in mehreren Mitgliedsstaaten </w:t>
      </w:r>
      <w:r w:rsidR="00F610BD">
        <w:t>muss,</w:t>
      </w:r>
      <w:r w:rsidR="00093A95">
        <w:t xml:space="preserve"> wie bei den Codes </w:t>
      </w:r>
      <w:proofErr w:type="spellStart"/>
      <w:r w:rsidR="00093A95">
        <w:t>of</w:t>
      </w:r>
      <w:proofErr w:type="spellEnd"/>
      <w:r w:rsidR="00093A95">
        <w:t xml:space="preserve"> </w:t>
      </w:r>
      <w:proofErr w:type="spellStart"/>
      <w:r w:rsidR="00093A95">
        <w:t>Conduct</w:t>
      </w:r>
      <w:proofErr w:type="spellEnd"/>
      <w:r w:rsidR="00093A95">
        <w:t xml:space="preserve"> beschrieben, ein Kohärenzverfahren nach Art. 63 DSGVO stattfinden. </w:t>
      </w:r>
    </w:p>
    <w:p w14:paraId="27D08E0E" w14:textId="4FD5BA8B" w:rsidR="00B108E4" w:rsidRDefault="00093A95" w:rsidP="00EF7239">
      <w:r>
        <w:t>Zentrale Genehmigungsvoraussetzung is</w:t>
      </w:r>
      <w:r w:rsidR="00EF7239">
        <w:t>t</w:t>
      </w:r>
      <w:r>
        <w:t xml:space="preserve"> nach Art. 47 Abs. 1 </w:t>
      </w:r>
      <w:proofErr w:type="spellStart"/>
      <w:r>
        <w:t>lit</w:t>
      </w:r>
      <w:proofErr w:type="spellEnd"/>
      <w:r>
        <w:t>. a DSGVO die rechtliche Verbindlichkeit der Datenschutzvorschriften innerhalb des Unternehmens oder Unternehmensgruppe. Wie dies genau zu erreichen ist</w:t>
      </w:r>
      <w:r w:rsidR="00F610BD">
        <w:t>,</w:t>
      </w:r>
      <w:r>
        <w:t xml:space="preserve"> hängt unter anderem von den Rechtsformen der beteiligten Unternehmensteile ab und kann hier nicht</w:t>
      </w:r>
      <w:r w:rsidR="00512794">
        <w:t xml:space="preserve"> </w:t>
      </w:r>
      <w:r>
        <w:t>im Detail dargestellt werden. Vertragliche Verpflichtungen untereinander werden aber als genügend angesehen. Andere Konstruktionen sind denkbar, sofern sie eben zu einer rechtlichen Verbindlichkeit führen. Eine genauere Regelung des Verfahrens kann in Zukunft nach Art. 47 Abs. 3 DSGVO ggf. noch durch die E</w:t>
      </w:r>
      <w:r w:rsidR="00D03EE9">
        <w:t xml:space="preserve">uropäische </w:t>
      </w:r>
      <w:r>
        <w:t>Kommission erfolgen.</w:t>
      </w:r>
    </w:p>
    <w:p w14:paraId="1FC76BC5" w14:textId="33C6EC31" w:rsidR="00E2234F" w:rsidRDefault="00E2234F" w:rsidP="005B5C7A">
      <w:pPr>
        <w:pStyle w:val="berschrift7"/>
      </w:pPr>
      <w:bookmarkStart w:id="213" w:name="_Toc471812229"/>
      <w:bookmarkStart w:id="214" w:name="_Toc471818796"/>
      <w:bookmarkStart w:id="215" w:name="_Toc471826476"/>
      <w:bookmarkStart w:id="216" w:name="_Toc471828078"/>
      <w:bookmarkStart w:id="217" w:name="_Toc471829435"/>
      <w:bookmarkStart w:id="218" w:name="_Toc512241307"/>
      <w:r w:rsidRPr="00223C47">
        <w:t>Inhaltliche Anforderungen</w:t>
      </w:r>
      <w:bookmarkEnd w:id="213"/>
      <w:bookmarkEnd w:id="214"/>
      <w:bookmarkEnd w:id="215"/>
      <w:bookmarkEnd w:id="216"/>
      <w:bookmarkEnd w:id="217"/>
      <w:bookmarkEnd w:id="218"/>
    </w:p>
    <w:p w14:paraId="0A8663CC" w14:textId="1CD13290" w:rsidR="00093A95" w:rsidRDefault="00AF741B" w:rsidP="00EF7239">
      <w:r>
        <w:t xml:space="preserve">Die </w:t>
      </w:r>
      <w:r w:rsidR="00093A95">
        <w:t xml:space="preserve">DSGVO enthält </w:t>
      </w:r>
      <w:r>
        <w:t>inhaltliche</w:t>
      </w:r>
      <w:r w:rsidR="00093A95">
        <w:t xml:space="preserve"> Vorgaben für die Aufstellung von Binding Corporate Rules. </w:t>
      </w:r>
      <w:r w:rsidR="00F15FA5">
        <w:t>Eine</w:t>
      </w:r>
      <w:r w:rsidR="00093A95">
        <w:t xml:space="preserve"> Genehmigungsvoraussetzung</w:t>
      </w:r>
      <w:r w:rsidR="00F15FA5">
        <w:t xml:space="preserve"> ist</w:t>
      </w:r>
      <w:r w:rsidR="00093A95">
        <w:t xml:space="preserve"> die Aufnahme von durchsetzbaren Rechten für die Betroffenen</w:t>
      </w:r>
      <w:r w:rsidR="00D03EE9">
        <w:t xml:space="preserve"> (</w:t>
      </w:r>
      <w:r w:rsidR="00093A95">
        <w:t xml:space="preserve">Art. 40 Abs. 1 </w:t>
      </w:r>
      <w:proofErr w:type="spellStart"/>
      <w:r w:rsidR="00093A95">
        <w:t>lit</w:t>
      </w:r>
      <w:proofErr w:type="spellEnd"/>
      <w:r w:rsidR="00093A95">
        <w:t>. b DSGVO</w:t>
      </w:r>
      <w:r w:rsidR="00D03EE9">
        <w:t>)</w:t>
      </w:r>
      <w:r w:rsidR="00093A95">
        <w:t xml:space="preserve">. Die Regelungen sollen </w:t>
      </w:r>
      <w:r w:rsidR="008A18F5">
        <w:t xml:space="preserve">also </w:t>
      </w:r>
      <w:r w:rsidR="00093A95">
        <w:t xml:space="preserve">nicht nur </w:t>
      </w:r>
      <w:r w:rsidR="00D03EE9">
        <w:t xml:space="preserve">innerhalb des </w:t>
      </w:r>
      <w:r w:rsidR="00093A95">
        <w:t xml:space="preserve">Unternehmens </w:t>
      </w:r>
      <w:r w:rsidR="00D03EE9">
        <w:t>verbindlich sein</w:t>
      </w:r>
      <w:r w:rsidR="00093A95">
        <w:t>, sondern auch nach außen Wirkungen entfalten.</w:t>
      </w:r>
    </w:p>
    <w:p w14:paraId="7BE68516" w14:textId="242094FB" w:rsidR="00093A95" w:rsidRDefault="00093A95" w:rsidP="00EF7239">
      <w:r>
        <w:t>Daneben enthält Art. 40 Abs.</w:t>
      </w:r>
      <w:r w:rsidR="00EF7239">
        <w:t xml:space="preserve"> </w:t>
      </w:r>
      <w:r>
        <w:t xml:space="preserve">2 DSGVO einen umfangreichen Katalog an Mindestangaben, </w:t>
      </w:r>
      <w:r w:rsidR="00E90865">
        <w:t>die</w:t>
      </w:r>
      <w:r>
        <w:t xml:space="preserve"> bei der Erstellung abzuarbeiten </w:t>
      </w:r>
      <w:r w:rsidR="00E90865">
        <w:t>sind</w:t>
      </w:r>
      <w:r>
        <w:t>.</w:t>
      </w:r>
    </w:p>
    <w:p w14:paraId="0751B00A" w14:textId="28FDC195" w:rsidR="0077768F" w:rsidRDefault="00E2234F" w:rsidP="0077768F">
      <w:pPr>
        <w:pStyle w:val="berschrift7"/>
      </w:pPr>
      <w:bookmarkStart w:id="219" w:name="_Toc471812230"/>
      <w:bookmarkStart w:id="220" w:name="_Toc471818797"/>
      <w:bookmarkStart w:id="221" w:name="_Toc471826477"/>
      <w:bookmarkStart w:id="222" w:name="_Toc471828079"/>
      <w:bookmarkStart w:id="223" w:name="_Toc471829436"/>
      <w:bookmarkStart w:id="224" w:name="_Toc512241308"/>
      <w:r w:rsidRPr="00223C47">
        <w:t>Verwendung in der Datenschutzkommunikation</w:t>
      </w:r>
      <w:bookmarkEnd w:id="219"/>
      <w:bookmarkEnd w:id="220"/>
      <w:bookmarkEnd w:id="221"/>
      <w:bookmarkEnd w:id="222"/>
      <w:bookmarkEnd w:id="223"/>
      <w:bookmarkEnd w:id="224"/>
    </w:p>
    <w:p w14:paraId="1F95CC14" w14:textId="3273CB08" w:rsidR="0077768F" w:rsidRDefault="002504C1" w:rsidP="00EF7239">
      <w:r>
        <w:t>Das Thema der Übermitt</w:t>
      </w:r>
      <w:r w:rsidR="0077768F">
        <w:t xml:space="preserve">lung von Daten in Drittländer hat in den letzten Jahren eine </w:t>
      </w:r>
      <w:r w:rsidR="006D5C7A">
        <w:t>enorme</w:t>
      </w:r>
      <w:r w:rsidR="0077768F">
        <w:t xml:space="preserve"> mediale Aufmerksamkei</w:t>
      </w:r>
      <w:r>
        <w:t>t erfahren. Gerade die Übermitt</w:t>
      </w:r>
      <w:r w:rsidR="0077768F">
        <w:t xml:space="preserve">lung von Daten in die USA wurde als skandalträchtiges Thema im Rahmen der Offenlegung dortiger Geheimdienst-Praktiken breit diskutiert. Das Schlagwort „Safe Harbor“, welches die damaligen Regelungen für solche Übermittlungen zusammenfasste, war medial über Monate präsent. Auch das ebenfalls häufig kritisierte Nachfolgeabkommen „Privacy </w:t>
      </w:r>
      <w:proofErr w:type="spellStart"/>
      <w:r w:rsidR="0077768F">
        <w:t>Shield</w:t>
      </w:r>
      <w:proofErr w:type="spellEnd"/>
      <w:r w:rsidR="0077768F">
        <w:t xml:space="preserve">“ ist in </w:t>
      </w:r>
      <w:proofErr w:type="gramStart"/>
      <w:r w:rsidR="0077768F">
        <w:t>aller Munde</w:t>
      </w:r>
      <w:proofErr w:type="gramEnd"/>
      <w:r w:rsidR="0077768F">
        <w:t xml:space="preserve">. </w:t>
      </w:r>
    </w:p>
    <w:p w14:paraId="5682C1A3" w14:textId="440D0F34" w:rsidR="00B108E4" w:rsidRDefault="002504C1" w:rsidP="00EF7239">
      <w:r>
        <w:t>Gerade bei solchen Übermitt</w:t>
      </w:r>
      <w:r w:rsidR="0077768F">
        <w:t xml:space="preserve">lungsprozessen gilt es also, das möglicherweise </w:t>
      </w:r>
      <w:r w:rsidR="00DB1753">
        <w:t>erschütterte</w:t>
      </w:r>
      <w:r w:rsidR="0077768F">
        <w:t xml:space="preserve"> Vertrauen der Betroffenen zurückzugewinnen. </w:t>
      </w:r>
      <w:r w:rsidR="00672C8D">
        <w:t>Die</w:t>
      </w:r>
      <w:r w:rsidR="0077768F">
        <w:t xml:space="preserve"> Aufstellung und Genehmigung von Binding Corporate Rules k</w:t>
      </w:r>
      <w:r w:rsidR="00672C8D">
        <w:t>önnen</w:t>
      </w:r>
      <w:r w:rsidR="0077768F">
        <w:t xml:space="preserve"> dabei aber nur d</w:t>
      </w:r>
      <w:r w:rsidR="00672C8D">
        <w:t>ie</w:t>
      </w:r>
      <w:r w:rsidR="0077768F">
        <w:t xml:space="preserve"> erste</w:t>
      </w:r>
      <w:r w:rsidR="00672C8D">
        <w:t>n</w:t>
      </w:r>
      <w:r w:rsidR="0077768F">
        <w:t xml:space="preserve"> Schritt</w:t>
      </w:r>
      <w:r w:rsidR="00672C8D">
        <w:t>e</w:t>
      </w:r>
      <w:r w:rsidR="0077768F">
        <w:t xml:space="preserve"> sein und </w:t>
      </w:r>
      <w:r w:rsidR="00672C8D">
        <w:t>schaffen</w:t>
      </w:r>
      <w:r w:rsidR="0077768F">
        <w:t xml:space="preserve"> nur die rechtliche </w:t>
      </w:r>
      <w:r w:rsidR="009F389D">
        <w:t xml:space="preserve">wie kommunikative </w:t>
      </w:r>
      <w:r w:rsidR="0077768F">
        <w:t>Grundlage.</w:t>
      </w:r>
    </w:p>
    <w:p w14:paraId="6EEDFC76" w14:textId="0126E8B5" w:rsidR="0077768F" w:rsidRDefault="0077768F" w:rsidP="00EF7239">
      <w:r>
        <w:t>Eine transpare</w:t>
      </w:r>
      <w:r w:rsidR="002504C1">
        <w:t>nte Offenlegung der Übermitt</w:t>
      </w:r>
      <w:r>
        <w:t xml:space="preserve">lung kann hier </w:t>
      </w:r>
      <w:r w:rsidR="009F389D">
        <w:t xml:space="preserve">dann </w:t>
      </w:r>
      <w:r>
        <w:t xml:space="preserve">zusätzliches Vertrauen schaffen. Letztendlich liegt hier durch die umfangreichen Mindestinhalte wieder eine gute </w:t>
      </w:r>
      <w:r w:rsidR="009F389D">
        <w:t>Informations</w:t>
      </w:r>
      <w:r>
        <w:t xml:space="preserve">grundlage vor, auf die in der weiteren öffentlichen Kommunikation aufgebaut werden kann. Die Genehmigung </w:t>
      </w:r>
      <w:r w:rsidR="009F389D">
        <w:t xml:space="preserve">durch die Aufsichtsbehörde wirkt </w:t>
      </w:r>
      <w:r>
        <w:t>hier als zusätzliches Vertrauensmerkmal.</w:t>
      </w:r>
    </w:p>
    <w:p w14:paraId="6ED1AC07" w14:textId="2726AE2C" w:rsidR="0077768F" w:rsidRPr="00223C47" w:rsidRDefault="00AF741B" w:rsidP="00EF7239">
      <w:r>
        <w:lastRenderedPageBreak/>
        <w:t>D</w:t>
      </w:r>
      <w:r w:rsidR="0077768F">
        <w:t xml:space="preserve">urch die individuelle Regelung innerhalb des Unternehmens bzw. der Unternehmensgruppe </w:t>
      </w:r>
      <w:r w:rsidR="008E1F49">
        <w:t xml:space="preserve">besteht </w:t>
      </w:r>
      <w:r w:rsidR="0077768F">
        <w:t xml:space="preserve">hier </w:t>
      </w:r>
      <w:r w:rsidR="008E1F49">
        <w:t>die Möglichkeit</w:t>
      </w:r>
      <w:r w:rsidR="0077768F">
        <w:t>, sich positiv von anderen Mitbewerbern abzuheben und eine durch oben geschilderte Skandale sensibilisierte Gruppe von Betroffenen für sich zu gewinnen.</w:t>
      </w:r>
    </w:p>
    <w:p w14:paraId="5ED89D21" w14:textId="77777777" w:rsidR="0006438B" w:rsidRDefault="00190D81" w:rsidP="0006438B">
      <w:pPr>
        <w:pStyle w:val="berschrift6"/>
      </w:pPr>
      <w:bookmarkStart w:id="225" w:name="_Toc469776785"/>
      <w:bookmarkStart w:id="226" w:name="_Toc471812231"/>
      <w:bookmarkStart w:id="227" w:name="_Toc471818798"/>
      <w:bookmarkStart w:id="228" w:name="_Toc471826478"/>
      <w:bookmarkStart w:id="229" w:name="_Toc471828080"/>
      <w:bookmarkStart w:id="230" w:name="_Toc471829437"/>
      <w:bookmarkStart w:id="231" w:name="_Toc512241309"/>
      <w:r>
        <w:t>Zertifikate und Datenschutz-Siegel</w:t>
      </w:r>
      <w:bookmarkEnd w:id="225"/>
      <w:bookmarkEnd w:id="226"/>
      <w:bookmarkEnd w:id="227"/>
      <w:bookmarkEnd w:id="228"/>
      <w:bookmarkEnd w:id="229"/>
      <w:bookmarkEnd w:id="230"/>
      <w:bookmarkEnd w:id="231"/>
    </w:p>
    <w:p w14:paraId="6A7B1AC5" w14:textId="6EF9F776" w:rsidR="0006438B" w:rsidRPr="0006438B" w:rsidRDefault="0006438B" w:rsidP="00124ECD">
      <w:pPr>
        <w:pStyle w:val="Schrifttum"/>
      </w:pPr>
      <w:r w:rsidRPr="00124ECD">
        <w:rPr>
          <w:i/>
        </w:rPr>
        <w:t>Stiftung Datenschutz</w:t>
      </w:r>
      <w:r w:rsidRPr="0006438B">
        <w:t>, Hintergrundinformationen zu Datenschutzgütesiegeln, abrufbar unter: https://stiftungdatenschutz.org/aufgaben/zertifikate-uebersicht/hintergrund-guetesiegel/</w:t>
      </w:r>
    </w:p>
    <w:p w14:paraId="77159623" w14:textId="77777777" w:rsidR="008A18F5" w:rsidRDefault="0006438B" w:rsidP="0002363D">
      <w:r>
        <w:t>Neben den oben beschriebenen häufig langen Dokumenten können auch Zertifizierungen und Datenschutzsiegel ein Mittel der Kommunikation sein</w:t>
      </w:r>
      <w:r w:rsidR="00190D81">
        <w:t>.</w:t>
      </w:r>
      <w:r>
        <w:t xml:space="preserve"> Sie erlauben es den Betroffenen auf einen Blick die Übereinstimmung eines Angebotes mit den Kriterien des Siegelanbieters zu prüfen und somit Vertrauen zu erwecken.</w:t>
      </w:r>
      <w:r w:rsidR="00190D81">
        <w:t xml:space="preserve"> Hierfür muss der Zertifizierung allerdings ein transparenter und umfangreicher Prüfungsprozess vorausgegangen sein</w:t>
      </w:r>
      <w:r w:rsidR="00456C04">
        <w:t>,</w:t>
      </w:r>
      <w:r w:rsidR="00190D81">
        <w:t xml:space="preserve"> und die betreffende Zertifizierung bzw. das Siegel muss unter den Betroffenen bekannt sein. </w:t>
      </w:r>
    </w:p>
    <w:tbl>
      <w:tblPr>
        <w:tblStyle w:val="Tabellenraster"/>
        <w:tblW w:w="0" w:type="auto"/>
        <w:tblLook w:val="04A0" w:firstRow="1" w:lastRow="0" w:firstColumn="1" w:lastColumn="0" w:noHBand="0" w:noVBand="1"/>
      </w:tblPr>
      <w:tblGrid>
        <w:gridCol w:w="9062"/>
      </w:tblGrid>
      <w:tr w:rsidR="008A18F5" w14:paraId="4EF5DE82" w14:textId="77777777" w:rsidTr="008A18F5">
        <w:tc>
          <w:tcPr>
            <w:tcW w:w="9212" w:type="dxa"/>
          </w:tcPr>
          <w:p w14:paraId="66108A1B" w14:textId="11F48A4E" w:rsidR="008A18F5" w:rsidRDefault="008A18F5" w:rsidP="0002363D">
            <w:r>
              <w:t xml:space="preserve">Die Stiftung Datenschutz bietet auf ihrer Internetseite einen umfangreichen Überblick zu momentan </w:t>
            </w:r>
            <w:r w:rsidRPr="00510387">
              <w:t>32 Anbietern</w:t>
            </w:r>
            <w:r>
              <w:t xml:space="preserve"> von </w:t>
            </w:r>
            <w:r w:rsidRPr="008A18F5">
              <w:rPr>
                <w:b/>
              </w:rPr>
              <w:t>Zertifizierungen und Gütesiegeln</w:t>
            </w:r>
            <w:r>
              <w:t xml:space="preserve"> an, inklusive einer Auflistung der Prüfungsvoraussetzungen. </w:t>
            </w:r>
          </w:p>
          <w:p w14:paraId="7FE3530C" w14:textId="55D79007" w:rsidR="008A18F5" w:rsidRDefault="008A18F5" w:rsidP="0002363D">
            <w:r>
              <w:t xml:space="preserve">(abrufbar unter </w:t>
            </w:r>
            <w:r w:rsidRPr="00BE0B06">
              <w:t>https://stiftungdatenschutz.org/aufgaben/zertifikate-uebersicht/</w:t>
            </w:r>
            <w:r>
              <w:t xml:space="preserve">) </w:t>
            </w:r>
          </w:p>
        </w:tc>
      </w:tr>
    </w:tbl>
    <w:p w14:paraId="3710F353" w14:textId="53D76EF3" w:rsidR="00190D81" w:rsidRDefault="007C0903" w:rsidP="0002363D">
      <w:r w:rsidRPr="007C0903">
        <w:t xml:space="preserve">Wird der Anbieter des Zertifikats vom Verbraucher als vertrauenswürdig eingestuft, kann der </w:t>
      </w:r>
      <w:proofErr w:type="spellStart"/>
      <w:r w:rsidRPr="007C0903">
        <w:t>Datenverarbeiter</w:t>
      </w:r>
      <w:proofErr w:type="spellEnd"/>
      <w:r w:rsidRPr="007C0903">
        <w:t xml:space="preserve"> an diesem Ruf durch Verwendung des </w:t>
      </w:r>
      <w:r w:rsidR="00534379">
        <w:t>Zertifikats im Rahmen seiner Kommunikation</w:t>
      </w:r>
      <w:r w:rsidRPr="007C0903">
        <w:t xml:space="preserve"> teilhaben</w:t>
      </w:r>
      <w:r>
        <w:t>.</w:t>
      </w:r>
    </w:p>
    <w:p w14:paraId="3F4A84D4" w14:textId="58DD434F" w:rsidR="00190D81" w:rsidRDefault="00190D81" w:rsidP="00190D81">
      <w:r>
        <w:t xml:space="preserve">Erstmals kommen den Zertifizierungen und Gütesiegeln mit der DSGVO rechtliche Wirkungen zu. Die Zertifizierungen sind hierfür nach Art. 42 Abs. 5 DSGVO durch eine Aufsichtsbehörde zu genehmigen. Hieraus wird dann eine europaweite und zu veröffentlichende Liste durch den </w:t>
      </w:r>
      <w:r w:rsidR="00BF06AB">
        <w:t xml:space="preserve">Europäischen </w:t>
      </w:r>
      <w:r>
        <w:t>Datensch</w:t>
      </w:r>
      <w:r w:rsidR="00456C04">
        <w:t>utzausschuss zu erstellen sein (</w:t>
      </w:r>
      <w:r w:rsidR="00BF06AB">
        <w:t>Art. </w:t>
      </w:r>
      <w:r>
        <w:t>42 Abs. 8 DSGVO</w:t>
      </w:r>
      <w:r w:rsidR="00456C04">
        <w:t>)</w:t>
      </w:r>
      <w:r>
        <w:t>.</w:t>
      </w:r>
    </w:p>
    <w:p w14:paraId="76FBE5BA" w14:textId="6EAA809D" w:rsidR="0075062B" w:rsidRDefault="0075062B" w:rsidP="0075062B">
      <w:pPr>
        <w:pStyle w:val="berschrift7"/>
      </w:pPr>
      <w:bookmarkStart w:id="232" w:name="_Toc471812232"/>
      <w:bookmarkStart w:id="233" w:name="_Toc471818799"/>
      <w:bookmarkStart w:id="234" w:name="_Toc471826479"/>
      <w:bookmarkStart w:id="235" w:name="_Toc471828081"/>
      <w:bookmarkStart w:id="236" w:name="_Toc471829438"/>
      <w:bookmarkStart w:id="237" w:name="_Toc512241310"/>
      <w:r>
        <w:t>Verfahren</w:t>
      </w:r>
      <w:bookmarkEnd w:id="232"/>
      <w:bookmarkEnd w:id="233"/>
      <w:bookmarkEnd w:id="234"/>
      <w:bookmarkEnd w:id="235"/>
      <w:bookmarkEnd w:id="236"/>
      <w:bookmarkEnd w:id="237"/>
    </w:p>
    <w:p w14:paraId="4AE90C31" w14:textId="2FCC699C" w:rsidR="00190D81" w:rsidRDefault="00190D81" w:rsidP="00190D81">
      <w:r>
        <w:t xml:space="preserve">Neu sind zahlreiche formelle Vorgaben für die Zertifizierung. Diese muss </w:t>
      </w:r>
      <w:r w:rsidR="00B108E4">
        <w:t xml:space="preserve">für das Eintreten rechtlicher Wirkungen </w:t>
      </w:r>
      <w:r>
        <w:t>nicht nur in oben beschriebener Weise staatlich anerkannt sein, sondern spätestens alle drei Jahre wiederholt werden</w:t>
      </w:r>
      <w:r w:rsidR="00DB28E9">
        <w:t xml:space="preserve"> (</w:t>
      </w:r>
      <w:r>
        <w:t>Art. 42 Abs. 7 DSGVO</w:t>
      </w:r>
      <w:r w:rsidR="00DB28E9">
        <w:t>)</w:t>
      </w:r>
      <w:r>
        <w:t>. Art. 42 Abs. 6 DSGVO stellt klar, dass eine umfangreiche Mitwirkung des zu zertifizierenden Ver</w:t>
      </w:r>
      <w:r w:rsidR="00D117FF">
        <w:t xml:space="preserve">antwortlichen erforderlich ist. </w:t>
      </w:r>
      <w:r>
        <w:t>Praktisch ist die Durchführung eines Zertifizierungsverfahrens anders gar nicht denkbar.</w:t>
      </w:r>
      <w:r w:rsidR="00B108E4">
        <w:t xml:space="preserve"> Auch der Zeitraum dürfte die </w:t>
      </w:r>
      <w:r w:rsidR="00F93002">
        <w:t xml:space="preserve">der </w:t>
      </w:r>
      <w:r w:rsidR="00B108E4">
        <w:t>obig</w:t>
      </w:r>
      <w:r w:rsidR="00F93002">
        <w:t>en</w:t>
      </w:r>
      <w:r w:rsidR="00B108E4">
        <w:t xml:space="preserve"> Übersicht</w:t>
      </w:r>
      <w:r w:rsidR="007A5D89">
        <w:t xml:space="preserve"> </w:t>
      </w:r>
      <w:r w:rsidR="00F93002" w:rsidRPr="00F93002">
        <w:t>(</w:t>
      </w:r>
      <w:r w:rsidR="007A5D89" w:rsidRPr="00F93002">
        <w:t>c</w:t>
      </w:r>
      <w:r w:rsidR="00CB21D8">
        <w:t>.</w:t>
      </w:r>
      <w:r w:rsidR="007A5D89" w:rsidRPr="00F93002">
        <w:t>)</w:t>
      </w:r>
      <w:r w:rsidR="00B108E4">
        <w:t xml:space="preserve"> zu entnehmenden etablierten Anbieter vor keine größeren Umsetzungsprobleme stellen.</w:t>
      </w:r>
    </w:p>
    <w:p w14:paraId="2B92C0AD" w14:textId="60095185" w:rsidR="0075062B" w:rsidRDefault="0075062B" w:rsidP="0075062B">
      <w:pPr>
        <w:pStyle w:val="berschrift7"/>
      </w:pPr>
      <w:bookmarkStart w:id="238" w:name="_Toc471812233"/>
      <w:bookmarkStart w:id="239" w:name="_Toc471818800"/>
      <w:bookmarkStart w:id="240" w:name="_Toc471826480"/>
      <w:bookmarkStart w:id="241" w:name="_Toc471828082"/>
      <w:bookmarkStart w:id="242" w:name="_Toc471829439"/>
      <w:bookmarkStart w:id="243" w:name="_Toc512241311"/>
      <w:r w:rsidRPr="00BF1C86">
        <w:t>Inhaltliche Anforderungen</w:t>
      </w:r>
      <w:bookmarkEnd w:id="238"/>
      <w:bookmarkEnd w:id="239"/>
      <w:bookmarkEnd w:id="240"/>
      <w:bookmarkEnd w:id="241"/>
      <w:bookmarkEnd w:id="242"/>
      <w:bookmarkEnd w:id="243"/>
    </w:p>
    <w:p w14:paraId="3388A24A" w14:textId="4BAB87F1" w:rsidR="00C5049A" w:rsidRPr="00C5049A" w:rsidRDefault="00C5049A" w:rsidP="00C3130B">
      <w:r>
        <w:t>Die unter der DSGVO genehmigten Zertifikate belegen aus inhaltlicher Sicht gem. Art. 42 Abs.</w:t>
      </w:r>
      <w:r w:rsidR="00CB7F64">
        <w:t xml:space="preserve"> </w:t>
      </w:r>
      <w:r>
        <w:t>1 S.</w:t>
      </w:r>
      <w:r w:rsidR="00CB7F64">
        <w:t xml:space="preserve"> </w:t>
      </w:r>
      <w:r>
        <w:t xml:space="preserve">1 DSGVO die Einhaltung der Vorgaben </w:t>
      </w:r>
      <w:r w:rsidR="00124ECD">
        <w:t>des europäischen Datenschutzrechts</w:t>
      </w:r>
      <w:r>
        <w:t>. Eine darüber hinaus gehende Prüfung höherer Datenschutzstandards wird in diesem Verfahren bisher nicht für möglich gehalten. Letzten</w:t>
      </w:r>
      <w:r w:rsidR="00124ECD">
        <w:t xml:space="preserve"> E</w:t>
      </w:r>
      <w:r>
        <w:t xml:space="preserve">ndes belegt ein genehmigtes Zertifikat somit nur die Einhaltung der ohnehin zu beachtenden rechtlichen </w:t>
      </w:r>
      <w:r w:rsidR="007A5D89">
        <w:t>Mindestvorgaben</w:t>
      </w:r>
      <w:r>
        <w:t>. Die Zukunft der oben genannten Zertifikate bleibt abzuwarten. Freilich ist es nicht undenkbar, dass über die unter der DSGVO vorgeschriebene Zertifizierung hinaus andere Zertifikate am Markt so etabliert werden, dass auch ohne eine Genehmigung Wettbewerbseffekte und gestärktes Vertrauen entstehen können.</w:t>
      </w:r>
    </w:p>
    <w:p w14:paraId="4C367A59" w14:textId="0BC88D63" w:rsidR="00C5049A" w:rsidRDefault="0075062B">
      <w:pPr>
        <w:pStyle w:val="berschrift7"/>
      </w:pPr>
      <w:bookmarkStart w:id="244" w:name="_Toc471812234"/>
      <w:bookmarkStart w:id="245" w:name="_Toc471818801"/>
      <w:bookmarkStart w:id="246" w:name="_Toc471826481"/>
      <w:bookmarkStart w:id="247" w:name="_Toc471828083"/>
      <w:bookmarkStart w:id="248" w:name="_Toc471829440"/>
      <w:bookmarkStart w:id="249" w:name="_Toc512241312"/>
      <w:r w:rsidRPr="00BF1C86">
        <w:t>Verwendung in der Datenschutzkommunikation</w:t>
      </w:r>
      <w:bookmarkEnd w:id="244"/>
      <w:bookmarkEnd w:id="245"/>
      <w:bookmarkEnd w:id="246"/>
      <w:bookmarkEnd w:id="247"/>
      <w:bookmarkEnd w:id="248"/>
      <w:bookmarkEnd w:id="249"/>
    </w:p>
    <w:p w14:paraId="27E4D2A0" w14:textId="7FC30D2A" w:rsidR="00C5049A" w:rsidRPr="000C1B8C" w:rsidRDefault="00C5049A" w:rsidP="00C5049A">
      <w:r>
        <w:t xml:space="preserve">Die </w:t>
      </w:r>
      <w:r w:rsidRPr="000C1B8C">
        <w:t xml:space="preserve">Zertifizierung </w:t>
      </w:r>
      <w:r>
        <w:t>kann</w:t>
      </w:r>
      <w:r w:rsidR="00A96BD3">
        <w:t>,</w:t>
      </w:r>
      <w:r>
        <w:t xml:space="preserve"> wie auch </w:t>
      </w:r>
      <w:r w:rsidRPr="000C1B8C">
        <w:t>andere Formen der unabhängigen Bewertung von Datenschutz</w:t>
      </w:r>
      <w:r w:rsidR="00A96BD3">
        <w:t>,</w:t>
      </w:r>
      <w:r w:rsidRPr="000C1B8C">
        <w:t xml:space="preserve"> </w:t>
      </w:r>
      <w:r>
        <w:t>Teil der</w:t>
      </w:r>
      <w:r w:rsidRPr="000C1B8C">
        <w:t xml:space="preserve"> Kommunikation</w:t>
      </w:r>
      <w:r>
        <w:t>sstrategie sein. Dem Betroffenen können diese als Anhaltspunkt für</w:t>
      </w:r>
      <w:r w:rsidRPr="000C1B8C">
        <w:t xml:space="preserve"> ihr </w:t>
      </w:r>
      <w:r>
        <w:t>Nutzungs</w:t>
      </w:r>
      <w:r w:rsidRPr="000C1B8C">
        <w:t xml:space="preserve">verhalten und ihren </w:t>
      </w:r>
      <w:r>
        <w:t xml:space="preserve">datenschutzbezogenen </w:t>
      </w:r>
      <w:r w:rsidRPr="000C1B8C">
        <w:t xml:space="preserve">Selbstschutz </w:t>
      </w:r>
      <w:r>
        <w:t>dienen</w:t>
      </w:r>
      <w:r w:rsidRPr="000C1B8C">
        <w:t xml:space="preserve">. </w:t>
      </w:r>
      <w:r w:rsidRPr="000C1B8C">
        <w:lastRenderedPageBreak/>
        <w:t xml:space="preserve">Sie geben schnell und auf einen Blick Orientierung und eignen sich damit aus Sicht der </w:t>
      </w:r>
      <w:r w:rsidR="00BF3791">
        <w:t>Verantwortlichen Stelle</w:t>
      </w:r>
      <w:r w:rsidRPr="000C1B8C">
        <w:t xml:space="preserve"> als Werbewerkzeug und können Nachfrage und damit Wettbewerbsvorteile generieren.</w:t>
      </w:r>
      <w:r w:rsidR="009C0F96">
        <w:t xml:space="preserve"> Auf einen Blick wird die Einhaltung bestimmter Standards visuell für den </w:t>
      </w:r>
      <w:r w:rsidR="00A40100">
        <w:t>Betroffenen</w:t>
      </w:r>
      <w:r w:rsidR="009C0F96">
        <w:t xml:space="preserve"> dargestellt.</w:t>
      </w:r>
      <w:r>
        <w:t xml:space="preserve"> Abhängig von den konkreten Anforderungen an die Verantwortliche Stelle </w:t>
      </w:r>
      <w:r w:rsidR="0064130E">
        <w:t>kommt</w:t>
      </w:r>
      <w:r>
        <w:t xml:space="preserve"> eine Kombination mit den weiteren vorgestellten Instrumenten in Betracht.</w:t>
      </w:r>
    </w:p>
    <w:p w14:paraId="46F7AF39" w14:textId="21B4AE72" w:rsidR="00963E1F" w:rsidRDefault="001F42D6" w:rsidP="00DC7166">
      <w:pPr>
        <w:pStyle w:val="berschrift5"/>
      </w:pPr>
      <w:bookmarkStart w:id="250" w:name="_Toc469776786"/>
      <w:bookmarkStart w:id="251" w:name="_Toc471812235"/>
      <w:bookmarkStart w:id="252" w:name="_Toc471818802"/>
      <w:bookmarkStart w:id="253" w:name="_Toc471826482"/>
      <w:bookmarkStart w:id="254" w:name="_Toc471828084"/>
      <w:bookmarkStart w:id="255" w:name="_Toc471829441"/>
      <w:bookmarkStart w:id="256" w:name="_Toc512241313"/>
      <w:r>
        <w:t>Freiwillige a</w:t>
      </w:r>
      <w:r w:rsidR="005869C8">
        <w:t>llgemeine Datenschutzkommunikation</w:t>
      </w:r>
      <w:bookmarkEnd w:id="250"/>
      <w:r w:rsidR="00D1636A">
        <w:t xml:space="preserve"> (Privacy </w:t>
      </w:r>
      <w:proofErr w:type="spellStart"/>
      <w:r w:rsidR="00D1636A">
        <w:t>Policies</w:t>
      </w:r>
      <w:proofErr w:type="spellEnd"/>
      <w:r w:rsidR="00D1636A">
        <w:t>)</w:t>
      </w:r>
      <w:bookmarkEnd w:id="251"/>
      <w:bookmarkEnd w:id="252"/>
      <w:bookmarkEnd w:id="253"/>
      <w:bookmarkEnd w:id="254"/>
      <w:bookmarkEnd w:id="255"/>
      <w:bookmarkEnd w:id="256"/>
    </w:p>
    <w:p w14:paraId="234F8B89" w14:textId="15013A59" w:rsidR="00BC1710" w:rsidRPr="00BC1710" w:rsidRDefault="005B4EEF" w:rsidP="0080035E">
      <w:pPr>
        <w:pStyle w:val="Schrifttum"/>
      </w:pPr>
      <w:bookmarkStart w:id="257" w:name="_Toc469742996"/>
      <w:bookmarkEnd w:id="257"/>
      <w:r w:rsidRPr="00BC1710">
        <w:rPr>
          <w:i/>
          <w:iCs/>
        </w:rPr>
        <w:t>Jansen</w:t>
      </w:r>
      <w:r w:rsidRPr="00A60B1B">
        <w:rPr>
          <w:iCs/>
        </w:rPr>
        <w:t>, in:</w:t>
      </w:r>
      <w:r w:rsidRPr="00BC1710">
        <w:rPr>
          <w:i/>
          <w:iCs/>
        </w:rPr>
        <w:t xml:space="preserve"> </w:t>
      </w:r>
      <w:r w:rsidR="007D0B44" w:rsidRPr="006B3B7D">
        <w:t>Moos</w:t>
      </w:r>
      <w:r w:rsidR="007D0B44" w:rsidRPr="00BC1710">
        <w:t xml:space="preserve"> (Hrsg.), Datennutzungs- und Datenschutzverträge – Muster, Klauseln, Erläuterungen, Otto Schmidt-Verlag 2014, S. </w:t>
      </w:r>
      <w:r w:rsidRPr="00BC1710">
        <w:t>959</w:t>
      </w:r>
    </w:p>
    <w:p w14:paraId="6755F01A" w14:textId="6B281ECD" w:rsidR="00BC1710" w:rsidRPr="00BC1710" w:rsidRDefault="00BC1710" w:rsidP="0080035E">
      <w:pPr>
        <w:pStyle w:val="Schrifttum"/>
      </w:pPr>
      <w:r w:rsidRPr="00BC1710">
        <w:rPr>
          <w:i/>
          <w:iCs/>
        </w:rPr>
        <w:t>Schröder</w:t>
      </w:r>
      <w:r w:rsidRPr="00BC1710">
        <w:t xml:space="preserve">, Die Haftung für Verstöße gegen Privacy </w:t>
      </w:r>
      <w:proofErr w:type="spellStart"/>
      <w:r w:rsidRPr="00BC1710">
        <w:t>Policies</w:t>
      </w:r>
      <w:proofErr w:type="spellEnd"/>
      <w:r w:rsidRPr="00BC1710">
        <w:t xml:space="preserve"> und Codes </w:t>
      </w:r>
      <w:proofErr w:type="spellStart"/>
      <w:r w:rsidRPr="00BC1710">
        <w:t>of</w:t>
      </w:r>
      <w:proofErr w:type="spellEnd"/>
      <w:r w:rsidRPr="00BC1710">
        <w:t xml:space="preserve"> </w:t>
      </w:r>
      <w:proofErr w:type="spellStart"/>
      <w:r w:rsidRPr="00BC1710">
        <w:t>Conduct</w:t>
      </w:r>
      <w:proofErr w:type="spellEnd"/>
      <w:r w:rsidRPr="00BC1710">
        <w:t xml:space="preserve"> nach US-amerikanischem und deutschem Recht, </w:t>
      </w:r>
      <w:r w:rsidR="001D7585">
        <w:t xml:space="preserve">Nomos </w:t>
      </w:r>
      <w:r w:rsidRPr="00BC1710">
        <w:t>2007</w:t>
      </w:r>
    </w:p>
    <w:p w14:paraId="4511D8C3" w14:textId="77777777" w:rsidR="00792736" w:rsidRDefault="00792736" w:rsidP="00C77EC6">
      <w:r>
        <w:t xml:space="preserve">Der Begriff Privacy </w:t>
      </w:r>
      <w:proofErr w:type="spellStart"/>
      <w:r>
        <w:t>Policies</w:t>
      </w:r>
      <w:proofErr w:type="spellEnd"/>
      <w:r>
        <w:t xml:space="preserve"> wird auch in Deutschland zunehmend verwendet. Hierbei gilt es aber zu beachten, dass es sich dabei anders als in den Vereinigten Staaten von Amerika nicht um einen feststehenden Rechtsbegriff handelt. </w:t>
      </w:r>
    </w:p>
    <w:p w14:paraId="4F8278D8" w14:textId="6E54A61A" w:rsidR="00FC1F1D" w:rsidRDefault="00792736" w:rsidP="00C77EC6">
      <w:r>
        <w:t xml:space="preserve">Dies macht die Privacy </w:t>
      </w:r>
      <w:proofErr w:type="spellStart"/>
      <w:r>
        <w:t>Policies</w:t>
      </w:r>
      <w:proofErr w:type="spellEnd"/>
      <w:r>
        <w:t xml:space="preserve"> einerseits zu einem flexiblen Kommunikationsinstrument, da keine engen rechtlichen Begrenzungen vorge</w:t>
      </w:r>
      <w:r w:rsidR="00B4764D">
        <w:t>ge</w:t>
      </w:r>
      <w:r>
        <w:t>ben sind</w:t>
      </w:r>
      <w:r w:rsidR="00224CF3">
        <w:t>. Andererseits können diese</w:t>
      </w:r>
      <w:r>
        <w:t xml:space="preserve"> aber je nach Gestaltung auch vertragliche Pflichten mit sich bringen, die </w:t>
      </w:r>
      <w:r w:rsidR="00B52010">
        <w:t>vom</w:t>
      </w:r>
      <w:r>
        <w:t xml:space="preserve"> </w:t>
      </w:r>
      <w:r w:rsidR="00B52010">
        <w:t>Informierenden</w:t>
      </w:r>
      <w:r>
        <w:t xml:space="preserve"> im Kern gar nicht beabsichtigt waren. Je nach Gestaltung können Privacy </w:t>
      </w:r>
      <w:proofErr w:type="spellStart"/>
      <w:r>
        <w:t>Policies</w:t>
      </w:r>
      <w:proofErr w:type="spellEnd"/>
      <w:r>
        <w:t xml:space="preserve"> aus rechtlicher Sicht als (</w:t>
      </w:r>
      <w:proofErr w:type="spellStart"/>
      <w:r>
        <w:t>un</w:t>
      </w:r>
      <w:proofErr w:type="spellEnd"/>
      <w:r>
        <w:t xml:space="preserve">)verbindliche Selbstverpflichtung, als AGB oder </w:t>
      </w:r>
      <w:r w:rsidR="0042226F">
        <w:t xml:space="preserve">gar </w:t>
      </w:r>
      <w:r>
        <w:t>als selbstständiges Garantieversprechen bewerte</w:t>
      </w:r>
      <w:r w:rsidR="00E532B5">
        <w:t>t</w:t>
      </w:r>
      <w:r>
        <w:t xml:space="preserve"> werden. Häufig wird der Begriff aber einfach synonym zum Begriff der Datenschutzerklärung verwendet. Es wird dann unter der Überschrift lediglich den </w:t>
      </w:r>
      <w:r w:rsidR="00E57C62">
        <w:t xml:space="preserve">unten </w:t>
      </w:r>
      <w:r>
        <w:t>dargestellten gesetzlichen Informationspflichten nachgekommen.</w:t>
      </w:r>
    </w:p>
    <w:p w14:paraId="497BD107" w14:textId="40753632" w:rsidR="00792736" w:rsidRDefault="00FC1F1D" w:rsidP="00C77EC6">
      <w:r>
        <w:t>N</w:t>
      </w:r>
      <w:r w:rsidR="000723E2">
        <w:t xml:space="preserve">ach geltendem Datenschutzrecht </w:t>
      </w:r>
      <w:r>
        <w:t xml:space="preserve">gibt es </w:t>
      </w:r>
      <w:r w:rsidR="000723E2">
        <w:t xml:space="preserve">keine Pflicht zu einer öffentlichen „Privacy </w:t>
      </w:r>
      <w:proofErr w:type="spellStart"/>
      <w:r w:rsidR="000723E2">
        <w:t>Policy</w:t>
      </w:r>
      <w:proofErr w:type="spellEnd"/>
      <w:r w:rsidR="000723E2">
        <w:t xml:space="preserve">“. </w:t>
      </w:r>
      <w:r w:rsidR="00413CE2">
        <w:t xml:space="preserve">Aber </w:t>
      </w:r>
      <w:proofErr w:type="gramStart"/>
      <w:r w:rsidR="00413CE2">
        <w:t>g</w:t>
      </w:r>
      <w:r w:rsidR="000723E2">
        <w:t>erade</w:t>
      </w:r>
      <w:proofErr w:type="gramEnd"/>
      <w:r w:rsidR="000723E2">
        <w:t xml:space="preserve"> weil keine solche Pflicht besteht, kann sich auf diesem Feld von Wettbewerbern abgesetzt </w:t>
      </w:r>
      <w:r w:rsidR="009F3C78">
        <w:t>und über den gesetzlichen Mindeststandard hinausgegangen werden.</w:t>
      </w:r>
    </w:p>
    <w:p w14:paraId="09F17C8A" w14:textId="77777777" w:rsidR="00D1636A" w:rsidRDefault="00D1636A" w:rsidP="008550E7">
      <w:pPr>
        <w:pStyle w:val="berschrift6"/>
      </w:pPr>
      <w:bookmarkStart w:id="258" w:name="_Toc471812236"/>
      <w:bookmarkStart w:id="259" w:name="_Toc471818803"/>
      <w:bookmarkStart w:id="260" w:name="_Toc471826483"/>
      <w:bookmarkStart w:id="261" w:name="_Toc471828085"/>
      <w:bookmarkStart w:id="262" w:name="_Toc471829442"/>
      <w:bookmarkStart w:id="263" w:name="_Toc512241314"/>
      <w:bookmarkStart w:id="264" w:name="_Toc469776788"/>
      <w:r w:rsidRPr="009C0824">
        <w:t>Kein formelles Verfahren</w:t>
      </w:r>
      <w:bookmarkEnd w:id="258"/>
      <w:bookmarkEnd w:id="259"/>
      <w:bookmarkEnd w:id="260"/>
      <w:bookmarkEnd w:id="261"/>
      <w:bookmarkEnd w:id="262"/>
      <w:bookmarkEnd w:id="263"/>
    </w:p>
    <w:p w14:paraId="6B2435C1" w14:textId="6BACF4A7" w:rsidR="001F034E" w:rsidRDefault="009C1D21" w:rsidP="00A60B1B">
      <w:r>
        <w:t xml:space="preserve">Mangels gesetzlicher Regelung gibt es für Privacy </w:t>
      </w:r>
      <w:proofErr w:type="spellStart"/>
      <w:r>
        <w:t>Policies</w:t>
      </w:r>
      <w:proofErr w:type="spellEnd"/>
      <w:r>
        <w:t xml:space="preserve"> an sich und ihre Entstehung keine einheitlichen Verfahrens- und Formvorschriften. Je nach Aufnahme bestimmte</w:t>
      </w:r>
      <w:r w:rsidR="00B4764D">
        <w:t>r</w:t>
      </w:r>
      <w:r>
        <w:t xml:space="preserve"> verpflichtender Angaben direkt in eine Privacy </w:t>
      </w:r>
      <w:proofErr w:type="spellStart"/>
      <w:r>
        <w:t>Policy</w:t>
      </w:r>
      <w:proofErr w:type="spellEnd"/>
      <w:r w:rsidR="00597A6C">
        <w:t>,</w:t>
      </w:r>
      <w:r>
        <w:t xml:space="preserve"> können aber die bei den spezifischen Kommunikationsanlässen dargestellten Form- und Verfahrens</w:t>
      </w:r>
      <w:r w:rsidR="001F034E">
        <w:t>anforderungen Anwendung finden.</w:t>
      </w:r>
    </w:p>
    <w:p w14:paraId="6ED209AB" w14:textId="6532985C" w:rsidR="009C1D21" w:rsidRPr="009C1D21" w:rsidRDefault="009C1D21" w:rsidP="00A60B1B">
      <w:r>
        <w:t xml:space="preserve">Da sich sowohl Inhalt, als auch Rechtsform der Privacy </w:t>
      </w:r>
      <w:proofErr w:type="spellStart"/>
      <w:r>
        <w:t>Policies</w:t>
      </w:r>
      <w:proofErr w:type="spellEnd"/>
      <w:r>
        <w:t xml:space="preserve"> stark unterscheiden können, sind diese Anforderungen im Einzelfall zu prüfen.</w:t>
      </w:r>
      <w:r w:rsidR="001F034E">
        <w:t xml:space="preserve"> </w:t>
      </w:r>
      <w:r>
        <w:t xml:space="preserve">Dabei sind jeweils die genauen rechtlichen Bindungswirkungen und möglicherweise entstehenden Ansprüche der Betroffenen kritisch zu würdigen. Eine Bindung wird in den meisten Fällen bei werblichen Privacy </w:t>
      </w:r>
      <w:proofErr w:type="spellStart"/>
      <w:r>
        <w:t>Policies</w:t>
      </w:r>
      <w:proofErr w:type="spellEnd"/>
      <w:r>
        <w:t xml:space="preserve"> gar nicht gewünscht </w:t>
      </w:r>
      <w:r w:rsidR="001F034E">
        <w:t xml:space="preserve">sein und ist deshalb klarstellend </w:t>
      </w:r>
      <w:r>
        <w:t>möglichst zu vermeiden.</w:t>
      </w:r>
    </w:p>
    <w:p w14:paraId="6EE49871" w14:textId="05BB76E6" w:rsidR="008550E7" w:rsidRDefault="00B93674" w:rsidP="008550E7">
      <w:pPr>
        <w:pStyle w:val="berschrift6"/>
      </w:pPr>
      <w:bookmarkStart w:id="265" w:name="_Toc471812237"/>
      <w:bookmarkStart w:id="266" w:name="_Toc471818804"/>
      <w:bookmarkStart w:id="267" w:name="_Toc471826484"/>
      <w:bookmarkStart w:id="268" w:name="_Toc471828086"/>
      <w:bookmarkStart w:id="269" w:name="_Toc471829443"/>
      <w:bookmarkStart w:id="270" w:name="_Toc512241315"/>
      <w:r>
        <w:t>Inhaltliche Anforderungen (</w:t>
      </w:r>
      <w:r w:rsidR="00AD3874" w:rsidRPr="008550E7">
        <w:t xml:space="preserve">Werbende </w:t>
      </w:r>
      <w:r w:rsidR="0025560F" w:rsidRPr="008550E7">
        <w:t xml:space="preserve">Verständlichkeit </w:t>
      </w:r>
      <w:r w:rsidR="00AD3874" w:rsidRPr="008550E7">
        <w:t xml:space="preserve">von </w:t>
      </w:r>
      <w:r w:rsidR="0025560F" w:rsidRPr="008550E7">
        <w:t xml:space="preserve">Privacy </w:t>
      </w:r>
      <w:proofErr w:type="spellStart"/>
      <w:r w:rsidR="0025560F" w:rsidRPr="008550E7">
        <w:t>Policies</w:t>
      </w:r>
      <w:bookmarkEnd w:id="264"/>
      <w:proofErr w:type="spellEnd"/>
      <w:r>
        <w:t>)</w:t>
      </w:r>
      <w:bookmarkEnd w:id="265"/>
      <w:bookmarkEnd w:id="266"/>
      <w:bookmarkEnd w:id="267"/>
      <w:bookmarkEnd w:id="268"/>
      <w:bookmarkEnd w:id="269"/>
      <w:bookmarkEnd w:id="270"/>
    </w:p>
    <w:p w14:paraId="296A26AA" w14:textId="2AA75B91" w:rsidR="00015A31" w:rsidRPr="00A60B1B" w:rsidRDefault="00934D11" w:rsidP="00FE48A1">
      <w:pPr>
        <w:pStyle w:val="Text"/>
        <w:ind w:firstLine="0"/>
        <w:jc w:val="left"/>
        <w:rPr>
          <w:sz w:val="20"/>
          <w:szCs w:val="20"/>
        </w:rPr>
      </w:pPr>
      <w:r w:rsidRPr="00A60B1B">
        <w:rPr>
          <w:i/>
          <w:sz w:val="20"/>
          <w:szCs w:val="20"/>
        </w:rPr>
        <w:t>Eichhorn/Schuhmann</w:t>
      </w:r>
      <w:r>
        <w:rPr>
          <w:sz w:val="20"/>
          <w:szCs w:val="20"/>
        </w:rPr>
        <w:t xml:space="preserve">, Der Inhalt ist alles, die Form nur </w:t>
      </w:r>
      <w:proofErr w:type="gramStart"/>
      <w:r>
        <w:rPr>
          <w:sz w:val="20"/>
          <w:szCs w:val="20"/>
        </w:rPr>
        <w:t>Ästhetik?,</w:t>
      </w:r>
      <w:proofErr w:type="gramEnd"/>
      <w:r>
        <w:rPr>
          <w:sz w:val="20"/>
          <w:szCs w:val="20"/>
        </w:rPr>
        <w:t xml:space="preserve"> Zeitschrift für deutsches und internationales Bau- und Vergaberecht (</w:t>
      </w:r>
      <w:proofErr w:type="spellStart"/>
      <w:r>
        <w:rPr>
          <w:sz w:val="20"/>
          <w:szCs w:val="20"/>
        </w:rPr>
        <w:t>ZfBR</w:t>
      </w:r>
      <w:proofErr w:type="spellEnd"/>
      <w:r>
        <w:rPr>
          <w:sz w:val="20"/>
          <w:szCs w:val="20"/>
        </w:rPr>
        <w:t>), 2014, S. 211 ff.</w:t>
      </w:r>
      <w:r w:rsidR="00431E48">
        <w:rPr>
          <w:sz w:val="20"/>
          <w:szCs w:val="20"/>
        </w:rPr>
        <w:t xml:space="preserve"> abrufbar unter</w:t>
      </w:r>
      <w:r w:rsidR="00D24F2B" w:rsidRPr="00D24F2B">
        <w:t xml:space="preserve"> </w:t>
      </w:r>
      <w:r w:rsidR="00D24F2B" w:rsidRPr="003E5A05">
        <w:t>http://t1p.de/p2xb</w:t>
      </w:r>
      <w:r w:rsidR="00D24F2B">
        <w:rPr>
          <w:sz w:val="20"/>
          <w:szCs w:val="20"/>
        </w:rPr>
        <w:t xml:space="preserve"> [Beck</w:t>
      </w:r>
      <w:r w:rsidR="00431E48" w:rsidRPr="00431E48">
        <w:rPr>
          <w:sz w:val="20"/>
          <w:szCs w:val="20"/>
        </w:rPr>
        <w:t>-online</w:t>
      </w:r>
      <w:r w:rsidR="00D24F2B">
        <w:rPr>
          <w:sz w:val="20"/>
          <w:szCs w:val="20"/>
        </w:rPr>
        <w:t>, kostenpflichtig]</w:t>
      </w:r>
    </w:p>
    <w:p w14:paraId="65E941B8" w14:textId="6C3EC9A4" w:rsidR="008550E7" w:rsidRDefault="00623827" w:rsidP="00773213">
      <w:r>
        <w:t xml:space="preserve">Soll eine umfassende Privacy </w:t>
      </w:r>
      <w:proofErr w:type="spellStart"/>
      <w:r>
        <w:t>Policy</w:t>
      </w:r>
      <w:proofErr w:type="spellEnd"/>
      <w:r>
        <w:t xml:space="preserve"> neben werberelevanten Texten auch rechtliche Informationspflichten erfüllen, so ist im Detail auf die </w:t>
      </w:r>
      <w:r w:rsidRPr="00F93002">
        <w:t xml:space="preserve">unten </w:t>
      </w:r>
      <w:r w:rsidR="007D0236" w:rsidRPr="00F93002">
        <w:t>(III.)</w:t>
      </w:r>
      <w:r w:rsidR="007D0236">
        <w:t xml:space="preserve"> </w:t>
      </w:r>
      <w:r>
        <w:t>folgenden Voraussetzungen zu spezifischen Kommunikationsanlässen zu verweisen. Es gelten dann die in der DSGVO aufgeführten Prinzipien, insbesondere die Grund</w:t>
      </w:r>
      <w:r w:rsidR="007D0236">
        <w:t>an</w:t>
      </w:r>
      <w:r>
        <w:t>forderung des Art. 12 Abs.</w:t>
      </w:r>
      <w:r w:rsidR="00961E4D">
        <w:t> </w:t>
      </w:r>
      <w:r>
        <w:t>1 DSGVO nach einer klaren und einfachen Sprache.</w:t>
      </w:r>
    </w:p>
    <w:p w14:paraId="1C35A2E5" w14:textId="39477191" w:rsidR="00623827" w:rsidRDefault="00623827" w:rsidP="004C5723">
      <w:r>
        <w:lastRenderedPageBreak/>
        <w:t>Unabhängig von einer rechtlichen Verpflichtung ergeben sich ähnliche Anforderungen für einen werbewirksamen Text hier schon aus kommunikations</w:t>
      </w:r>
      <w:r w:rsidR="00BE698C">
        <w:t>praktischer</w:t>
      </w:r>
      <w:r>
        <w:t xml:space="preserve"> Sicht.</w:t>
      </w:r>
      <w:r w:rsidR="005963F9">
        <w:t xml:space="preserve"> Die Stiftung Warentest hat in einem Test von Datenschutzerklärungen </w:t>
      </w:r>
      <w:r w:rsidR="002945B2">
        <w:t>diesbezüglich</w:t>
      </w:r>
      <w:r w:rsidR="005963F9">
        <w:t xml:space="preserve"> diverse Problemfelder aufgezeigt</w:t>
      </w:r>
      <w:r w:rsidR="0002025E">
        <w:t xml:space="preserve"> (</w:t>
      </w:r>
      <w:proofErr w:type="spellStart"/>
      <w:r w:rsidR="0002025E" w:rsidRPr="0002025E">
        <w:t>test</w:t>
      </w:r>
      <w:proofErr w:type="spellEnd"/>
      <w:r w:rsidR="0002025E" w:rsidRPr="0002025E">
        <w:t xml:space="preserve"> 3/2016, S. 57 ff.</w:t>
      </w:r>
      <w:r w:rsidR="0002025E">
        <w:t>)</w:t>
      </w:r>
      <w:r w:rsidR="00B46764">
        <w:t xml:space="preserve">. So waren die untersuchten Erklärungen bis zu 45 Seiten lang. Dennoch fehlte es zum Teil immer noch an einer Erfüllung der rechtlichen Pflichten. Daneben ist eine Werbewirkung bei diesem Umfang wohl kaum zu erwarten. </w:t>
      </w:r>
      <w:r w:rsidR="004532E7">
        <w:t xml:space="preserve">Dabei zeigen bereits verschiedene Studien, dass sich die Lesbarkeit und das Verständnis von Datenschutzerklärungen und anderer Rechtstexte insgesamt positiv auf das Bild des Verarbeiters und das Vertrauen der Betroffenen auswirken </w:t>
      </w:r>
      <w:r w:rsidR="00F118BA">
        <w:t>können</w:t>
      </w:r>
      <w:r w:rsidR="004532E7">
        <w:t>.</w:t>
      </w:r>
    </w:p>
    <w:p w14:paraId="6A6C39B2" w14:textId="2937405A" w:rsidR="00637B73" w:rsidRDefault="00637B73" w:rsidP="00637B73">
      <w:pPr>
        <w:pStyle w:val="berschrift7"/>
      </w:pPr>
      <w:bookmarkStart w:id="271" w:name="_Toc471812238"/>
      <w:bookmarkStart w:id="272" w:name="_Toc471818805"/>
      <w:bookmarkStart w:id="273" w:name="_Toc471826485"/>
      <w:bookmarkStart w:id="274" w:name="_Toc471828087"/>
      <w:bookmarkStart w:id="275" w:name="_Toc471829444"/>
      <w:bookmarkStart w:id="276" w:name="_Toc512241316"/>
      <w:r>
        <w:t>Kommunikation durch Layout</w:t>
      </w:r>
      <w:bookmarkEnd w:id="271"/>
      <w:bookmarkEnd w:id="272"/>
      <w:bookmarkEnd w:id="273"/>
      <w:bookmarkEnd w:id="274"/>
      <w:bookmarkEnd w:id="275"/>
      <w:bookmarkEnd w:id="276"/>
    </w:p>
    <w:p w14:paraId="34D4DA3A" w14:textId="4A640944" w:rsidR="00E875F8" w:rsidRDefault="00B46764" w:rsidP="00637B73">
      <w:r>
        <w:t xml:space="preserve">Eine Orientierung an der DSGVO </w:t>
      </w:r>
      <w:r w:rsidR="005E3FEA">
        <w:t xml:space="preserve">ist </w:t>
      </w:r>
      <w:r>
        <w:t xml:space="preserve">hier </w:t>
      </w:r>
      <w:r w:rsidR="005E3FEA">
        <w:t>geboten</w:t>
      </w:r>
      <w:r>
        <w:t>. Art. 12 Abs. 7 DSGVO verlangt eine leicht wahrnehmbare, verständliche und klar nachvollziehbare Form. Dies verlangt eine übersichtliche Gliederung des Dokumentes und die Verwendung geeigneter Hervorhebungen</w:t>
      </w:r>
      <w:r w:rsidR="00FD60CF">
        <w:t>,</w:t>
      </w:r>
      <w:r>
        <w:t xml:space="preserve"> um die Übersichtlichkeit zu erhöhen. </w:t>
      </w:r>
      <w:r w:rsidR="00E875F8">
        <w:t>Beitragen hierzu können ein großer Zeilenabstand, Einrückungen und Zwischenüberschriften</w:t>
      </w:r>
      <w:r w:rsidR="00696F91">
        <w:t>.</w:t>
      </w:r>
    </w:p>
    <w:p w14:paraId="24188A1A" w14:textId="51CFC897" w:rsidR="006B764A" w:rsidRDefault="00B46764" w:rsidP="006B6EC2">
      <w:r w:rsidRPr="00B46764">
        <w:t xml:space="preserve">Datenschutzerklärungen können insbesondere im Internet </w:t>
      </w:r>
      <w:r>
        <w:t xml:space="preserve">interaktiv gestaltet werden und durch die Verwendung von Hyperlinks </w:t>
      </w:r>
      <w:r w:rsidR="00FD60CF">
        <w:t>in mehreren Ebenen</w:t>
      </w:r>
      <w:r>
        <w:t xml:space="preserve"> aufgebaut werden</w:t>
      </w:r>
      <w:r w:rsidR="00EB1CA8">
        <w:t xml:space="preserve">. Ausgangspunkt ist </w:t>
      </w:r>
      <w:r w:rsidR="00CC4F22">
        <w:t xml:space="preserve">dann </w:t>
      </w:r>
      <w:r w:rsidR="00EB1CA8">
        <w:t xml:space="preserve">ein </w:t>
      </w:r>
      <w:r w:rsidR="00E875F8">
        <w:t xml:space="preserve">kurz gehaltenes </w:t>
      </w:r>
      <w:r w:rsidR="00EB1CA8">
        <w:t>Überblicksdokument</w:t>
      </w:r>
      <w:r w:rsidR="00CC4F22">
        <w:t>, da</w:t>
      </w:r>
      <w:r w:rsidR="00976540">
        <w:t>s</w:t>
      </w:r>
      <w:r w:rsidR="006B764A">
        <w:t xml:space="preserve"> in </w:t>
      </w:r>
      <w:r w:rsidR="00976540">
        <w:t xml:space="preserve">den weiteren Schritten mit einer umfangreichen </w:t>
      </w:r>
      <w:r w:rsidR="006B764A">
        <w:t>Priva</w:t>
      </w:r>
      <w:r w:rsidR="0078663B">
        <w:t>c</w:t>
      </w:r>
      <w:r w:rsidR="006B764A">
        <w:t xml:space="preserve">y </w:t>
      </w:r>
      <w:proofErr w:type="spellStart"/>
      <w:r w:rsidR="00976540">
        <w:t>Policy</w:t>
      </w:r>
      <w:proofErr w:type="spellEnd"/>
      <w:r w:rsidR="00976540">
        <w:t xml:space="preserve"> verknüpft wird.</w:t>
      </w:r>
      <w:r w:rsidR="006B764A">
        <w:t xml:space="preserve"> Ein </w:t>
      </w:r>
      <w:r w:rsidR="00E875F8">
        <w:t xml:space="preserve">zusätzlicher </w:t>
      </w:r>
      <w:r w:rsidR="006B764A">
        <w:t xml:space="preserve">Klick leitet </w:t>
      </w:r>
      <w:r w:rsidR="00976540">
        <w:t xml:space="preserve">den Betroffenen </w:t>
      </w:r>
      <w:r w:rsidR="006B764A">
        <w:t xml:space="preserve">zu weiterführenden Informationen. </w:t>
      </w:r>
      <w:r w:rsidR="00CE17B9">
        <w:t>Solche k</w:t>
      </w:r>
      <w:r w:rsidR="00E875F8">
        <w:t>lickbare</w:t>
      </w:r>
      <w:r w:rsidR="00CE17B9">
        <w:t>n</w:t>
      </w:r>
      <w:r w:rsidR="00E875F8">
        <w:t xml:space="preserve"> Verweise sind dabei textl</w:t>
      </w:r>
      <w:r w:rsidR="000916D2">
        <w:t>ich</w:t>
      </w:r>
      <w:r w:rsidR="00E875F8">
        <w:t xml:space="preserve">en Verweisen vorzuziehen. Zur Visualisierung können </w:t>
      </w:r>
      <w:r w:rsidR="002945B2">
        <w:t>zusätzlich</w:t>
      </w:r>
      <w:r w:rsidR="00E875F8">
        <w:t xml:space="preserve"> Piktogramme beitragen.</w:t>
      </w:r>
      <w:r w:rsidR="006B764A">
        <w:t xml:space="preserve"> </w:t>
      </w:r>
      <w:r w:rsidR="00232708">
        <w:t>D</w:t>
      </w:r>
      <w:r w:rsidR="006B764A">
        <w:t xml:space="preserve">er Verweis auf </w:t>
      </w:r>
      <w:r w:rsidR="00232708">
        <w:t xml:space="preserve">erworbene </w:t>
      </w:r>
      <w:r w:rsidRPr="00B46764">
        <w:t xml:space="preserve">Datenschutzsiegel und Zertifizierungen </w:t>
      </w:r>
      <w:r w:rsidR="003B459B">
        <w:t xml:space="preserve">ermöglicht </w:t>
      </w:r>
      <w:r w:rsidRPr="00B46764">
        <w:t xml:space="preserve">dem Kunden </w:t>
      </w:r>
      <w:r w:rsidR="003B459B">
        <w:t xml:space="preserve">eine </w:t>
      </w:r>
      <w:r w:rsidRPr="00B46764">
        <w:t>weitere Orientierung.</w:t>
      </w:r>
    </w:p>
    <w:p w14:paraId="64EC3B55" w14:textId="270EBC3A" w:rsidR="00637B73" w:rsidRDefault="00637B73" w:rsidP="008E55DF">
      <w:pPr>
        <w:pStyle w:val="berschrift7"/>
      </w:pPr>
      <w:bookmarkStart w:id="277" w:name="_Toc471812239"/>
      <w:bookmarkStart w:id="278" w:name="_Toc471818806"/>
      <w:bookmarkStart w:id="279" w:name="_Toc471826486"/>
      <w:bookmarkStart w:id="280" w:name="_Toc471828088"/>
      <w:bookmarkStart w:id="281" w:name="_Toc471829445"/>
      <w:bookmarkStart w:id="282" w:name="_Toc512241317"/>
      <w:r>
        <w:t>Besonderheiten der Mensch-Maschine-Kommunikation</w:t>
      </w:r>
      <w:bookmarkEnd w:id="277"/>
      <w:bookmarkEnd w:id="278"/>
      <w:bookmarkEnd w:id="279"/>
      <w:bookmarkEnd w:id="280"/>
      <w:bookmarkEnd w:id="281"/>
      <w:bookmarkEnd w:id="282"/>
    </w:p>
    <w:p w14:paraId="3808AB0E" w14:textId="15887D20" w:rsidR="008642EA" w:rsidRDefault="008642EA" w:rsidP="006B6EC2">
      <w:r>
        <w:t xml:space="preserve">Gerade bei der Verwendung digitaler Informationssysteme sind </w:t>
      </w:r>
      <w:r w:rsidR="00794569">
        <w:t>die</w:t>
      </w:r>
      <w:r>
        <w:t xml:space="preserve"> Grundsätze der Mensch-Maschine-Interaktion zu beachten. Orientierung kann hier die ISO-Norm ISO 9241-110 geben. Diese stellt Dialoggrundsätze für interaktive Systeme auf. Der Nutzer muss die zu vermittelnden Informationen vollständig, korrekt und insbesondere mit vertretbarem Aufwand erhalten können. Gerade </w:t>
      </w:r>
      <w:r w:rsidR="00272932">
        <w:t>aufgrund der</w:t>
      </w:r>
      <w:r>
        <w:t xml:space="preserve"> beschriebene</w:t>
      </w:r>
      <w:r w:rsidR="00272932">
        <w:t>n</w:t>
      </w:r>
      <w:r>
        <w:t xml:space="preserve"> rationale</w:t>
      </w:r>
      <w:r w:rsidR="00B4764D">
        <w:t>n</w:t>
      </w:r>
      <w:r>
        <w:t xml:space="preserve"> Apathie i</w:t>
      </w:r>
      <w:r w:rsidR="00272932">
        <w:t>n</w:t>
      </w:r>
      <w:r>
        <w:t xml:space="preserve"> Bezug auf Datenschutzthemen müssen hier die Hemmschwellen bei der Bedienung möglichst klein gehalten werden. </w:t>
      </w:r>
    </w:p>
    <w:p w14:paraId="25652094" w14:textId="473E05A8" w:rsidR="008642EA" w:rsidRDefault="008642EA" w:rsidP="006B6EC2">
      <w:r>
        <w:t xml:space="preserve">Auch </w:t>
      </w:r>
      <w:r w:rsidR="00844E31">
        <w:t xml:space="preserve">die Navigation </w:t>
      </w:r>
      <w:r w:rsidR="0074761D">
        <w:t>auf</w:t>
      </w:r>
      <w:r w:rsidR="00844E31">
        <w:t xml:space="preserve"> der angebotenen Seite </w:t>
      </w:r>
      <w:r w:rsidR="000A1037">
        <w:t>muss benutzerfreundlich ausgestaltet sein.</w:t>
      </w:r>
      <w:r>
        <w:t xml:space="preserve"> Der Benutzer muss sich jederzeit orientieren können und insbesondere wissen, wie er eine bestimmte Seite erreicht hat und auch wieder zurück zu den zuvor gelesenen Inhalten gelangt. </w:t>
      </w:r>
      <w:r w:rsidR="002E2B0F">
        <w:t xml:space="preserve">Dies verlangt von dem verwendeten System eine hohe Toleranz bezüglich </w:t>
      </w:r>
      <w:r w:rsidR="0074761D">
        <w:t xml:space="preserve">aller denkbaren </w:t>
      </w:r>
      <w:r w:rsidR="002E2B0F">
        <w:t xml:space="preserve">Bedienungsfehler. </w:t>
      </w:r>
    </w:p>
    <w:p w14:paraId="103A4C21" w14:textId="316BC9A3" w:rsidR="002E2B0F" w:rsidRDefault="002E2B0F" w:rsidP="006B6EC2">
      <w:r>
        <w:t>Genau wie der Text muss das Informationssystem auch den Erwartungen der Zielgruppe angepasst werden. Je nach Endgerät ist hier auf verbreitete Üblichkeiten in der Bedienung Rücksicht zu nehmen und sich diesen anzupassen.</w:t>
      </w:r>
    </w:p>
    <w:p w14:paraId="397B5596" w14:textId="36104D8D" w:rsidR="006B764A" w:rsidRDefault="00637B73" w:rsidP="008E55DF">
      <w:pPr>
        <w:pStyle w:val="berschrift7"/>
      </w:pPr>
      <w:bookmarkStart w:id="283" w:name="_Toc471812240"/>
      <w:bookmarkStart w:id="284" w:name="_Toc471818807"/>
      <w:bookmarkStart w:id="285" w:name="_Toc471826487"/>
      <w:bookmarkStart w:id="286" w:name="_Toc471828089"/>
      <w:bookmarkStart w:id="287" w:name="_Toc471829446"/>
      <w:bookmarkStart w:id="288" w:name="_Toc512241318"/>
      <w:r>
        <w:t>Kommunikation auf der Textebene</w:t>
      </w:r>
      <w:bookmarkEnd w:id="283"/>
      <w:bookmarkEnd w:id="284"/>
      <w:bookmarkEnd w:id="285"/>
      <w:bookmarkEnd w:id="286"/>
      <w:bookmarkEnd w:id="287"/>
      <w:bookmarkEnd w:id="288"/>
    </w:p>
    <w:p w14:paraId="6C820F5A" w14:textId="20EEA5D2" w:rsidR="002A16B9" w:rsidRPr="002A16B9" w:rsidRDefault="002A16B9" w:rsidP="002A16B9">
      <w:pPr>
        <w:pStyle w:val="Schrifttum"/>
      </w:pPr>
      <w:r w:rsidRPr="002A16B9">
        <w:rPr>
          <w:i/>
        </w:rPr>
        <w:t>Europäische Kommission</w:t>
      </w:r>
      <w:r>
        <w:t xml:space="preserve">, Klar und deutlich schreiben, </w:t>
      </w:r>
      <w:r w:rsidRPr="002A16B9">
        <w:t>http://t1p.de/d3cq</w:t>
      </w:r>
      <w:r>
        <w:t xml:space="preserve"> [</w:t>
      </w:r>
      <w:proofErr w:type="spellStart"/>
      <w:r w:rsidR="00A40100">
        <w:t>E</w:t>
      </w:r>
      <w:r>
        <w:t>urop</w:t>
      </w:r>
      <w:proofErr w:type="spellEnd"/>
      <w:r>
        <w:t>. Kommission, kostenfrei]</w:t>
      </w:r>
    </w:p>
    <w:p w14:paraId="226A1D76" w14:textId="0E8AF9A0" w:rsidR="004B1D55" w:rsidRDefault="00794569" w:rsidP="002A16B9">
      <w:r>
        <w:t>Auf</w:t>
      </w:r>
      <w:r w:rsidR="006B764A">
        <w:t xml:space="preserve"> der Textebene sollte au</w:t>
      </w:r>
      <w:r w:rsidR="00B4764D">
        <w:t>f</w:t>
      </w:r>
      <w:r w:rsidR="006B764A">
        <w:t xml:space="preserve"> eine klare und einfache Sprache geachtet werden. Wenn die Stiftung Warentest in Datenschutzerklärungen auf Sätze mit bis zu 130 Wörtern gestoßen ist, wird man diesem Erfordernis in der Praxis zum Teil nicht einmal annähernd gerecht. </w:t>
      </w:r>
      <w:r w:rsidR="00881CF7">
        <w:t xml:space="preserve">Eine gute Lesbarkeit erhöht nachweislich das Textverständnis. Zu vermeiden sind hierbei insbesondere lange und komplexe </w:t>
      </w:r>
      <w:r w:rsidR="00E875F8">
        <w:t xml:space="preserve">Satzkonstruktionen. Gerade Aufzählungen lassen sich zur besseren </w:t>
      </w:r>
      <w:r w:rsidR="00E875F8">
        <w:lastRenderedPageBreak/>
        <w:t xml:space="preserve">Lesbarkeit häufig </w:t>
      </w:r>
      <w:r w:rsidR="00756D03">
        <w:t xml:space="preserve">geeigneter </w:t>
      </w:r>
      <w:r w:rsidR="00E875F8">
        <w:t>in Bullet-Points darstellen.</w:t>
      </w:r>
      <w:r w:rsidR="00103855">
        <w:t xml:space="preserve"> </w:t>
      </w:r>
      <w:r>
        <w:t>Ergänzend</w:t>
      </w:r>
      <w:r w:rsidR="00E57C62">
        <w:t xml:space="preserve"> können Tabellen zum Einsatz kommen.</w:t>
      </w:r>
      <w:r w:rsidR="004B1D55">
        <w:t xml:space="preserve"> </w:t>
      </w:r>
    </w:p>
    <w:p w14:paraId="67BA2EB2" w14:textId="7A461EE2" w:rsidR="00E875F8" w:rsidRDefault="00E875F8" w:rsidP="006B6EC2">
      <w:r>
        <w:t xml:space="preserve">Eine direkte Ansprache wird dabei von </w:t>
      </w:r>
      <w:r w:rsidR="00794569">
        <w:t xml:space="preserve">den </w:t>
      </w:r>
      <w:r w:rsidR="00373304">
        <w:t>Betroffenen</w:t>
      </w:r>
      <w:r>
        <w:t xml:space="preserve"> als persönlicher empfunden und ist somit </w:t>
      </w:r>
      <w:r w:rsidR="00794569">
        <w:t xml:space="preserve">oft </w:t>
      </w:r>
      <w:r>
        <w:t xml:space="preserve">vorzugswürdig. </w:t>
      </w:r>
      <w:r w:rsidR="00946D07">
        <w:t xml:space="preserve">Allerdings hängt dies </w:t>
      </w:r>
      <w:r w:rsidR="00794569">
        <w:t>auch</w:t>
      </w:r>
      <w:r w:rsidR="00946D07">
        <w:t xml:space="preserve"> von der jeweiligen Dienstleistung</w:t>
      </w:r>
      <w:r w:rsidR="00044117">
        <w:t xml:space="preserve">, dem jeweiligen Produkt und der jeweiligen </w:t>
      </w:r>
      <w:r w:rsidR="00BF3791">
        <w:t>Verantwortlichen Stelle</w:t>
      </w:r>
      <w:r w:rsidR="00044117">
        <w:t xml:space="preserve"> ab.</w:t>
      </w:r>
    </w:p>
    <w:p w14:paraId="2AD9B12D" w14:textId="530EAFFA" w:rsidR="00F21130" w:rsidRDefault="00E57C62" w:rsidP="0032437C">
      <w:r>
        <w:t xml:space="preserve">Insbesondere bei rechtlichen und technischen Ausführungen besteht immer die Gefahr einer durch „Fachchinesisch“ </w:t>
      </w:r>
      <w:r w:rsidR="008B234D">
        <w:t xml:space="preserve">oder „Juristendeutsch“ </w:t>
      </w:r>
      <w:r>
        <w:t>für die angesprochene Zielgruppe völlig ungeeignete</w:t>
      </w:r>
      <w:r w:rsidR="00B4764D">
        <w:t>n</w:t>
      </w:r>
      <w:r>
        <w:t xml:space="preserve"> Ansprache. Im englischen Sprachraum hat sich insbesondere bei Rechtstexten aus dieser Problemlage mit dem „</w:t>
      </w:r>
      <w:proofErr w:type="spellStart"/>
      <w:r>
        <w:t>Plain</w:t>
      </w:r>
      <w:proofErr w:type="spellEnd"/>
      <w:r>
        <w:t xml:space="preserve"> Language Movement“ eine Gegenbewegung etabliert. </w:t>
      </w:r>
      <w:r w:rsidR="00202023">
        <w:t xml:space="preserve">Die Bedeutung für den deutschen Sprachraum hält sich hier aber bisher noch in Grenzen. Ähnliche Prinzipien werden aber im Rahmen des </w:t>
      </w:r>
      <w:proofErr w:type="spellStart"/>
      <w:r w:rsidR="00202023">
        <w:t>Draftings</w:t>
      </w:r>
      <w:proofErr w:type="spellEnd"/>
      <w:r w:rsidR="00202023">
        <w:t xml:space="preserve"> und der </w:t>
      </w:r>
      <w:proofErr w:type="spellStart"/>
      <w:r w:rsidR="00202023">
        <w:t>Legistik</w:t>
      </w:r>
      <w:proofErr w:type="spellEnd"/>
      <w:r w:rsidR="00202023">
        <w:t xml:space="preserve"> auch hier</w:t>
      </w:r>
      <w:r w:rsidR="009157F9">
        <w:t>zulande</w:t>
      </w:r>
      <w:r w:rsidR="00202023">
        <w:t xml:space="preserve"> vertreten.</w:t>
      </w:r>
      <w:r w:rsidR="003F667B">
        <w:t xml:space="preserve"> So hat beispielsweise das österreichische Kanzleramt schon 1990 eine </w:t>
      </w:r>
      <w:proofErr w:type="spellStart"/>
      <w:r w:rsidR="003F667B">
        <w:t>legistische</w:t>
      </w:r>
      <w:proofErr w:type="spellEnd"/>
      <w:r w:rsidR="003F667B">
        <w:t xml:space="preserve"> Richtlinie zur Verbesserung der Rechtssprache herausgegeben</w:t>
      </w:r>
      <w:r w:rsidR="00B57B86">
        <w:t xml:space="preserve"> (</w:t>
      </w:r>
      <w:r w:rsidR="002B5321">
        <w:t>Bundeskanzleramt Österreich</w:t>
      </w:r>
      <w:r w:rsidR="006547CA">
        <w:t>,</w:t>
      </w:r>
      <w:r w:rsidR="002B5321">
        <w:t xml:space="preserve"> Handbuch der Rechtssetzungstechnik, T</w:t>
      </w:r>
      <w:r w:rsidR="006510D2">
        <w:t xml:space="preserve">eil 1: </w:t>
      </w:r>
      <w:proofErr w:type="spellStart"/>
      <w:r w:rsidR="006510D2">
        <w:t>Legistische</w:t>
      </w:r>
      <w:proofErr w:type="spellEnd"/>
      <w:r w:rsidR="006510D2">
        <w:t xml:space="preserve"> Richtlinien, </w:t>
      </w:r>
      <w:r w:rsidR="002B5321">
        <w:t>Wien</w:t>
      </w:r>
      <w:r w:rsidR="006510D2">
        <w:t xml:space="preserve"> 1990</w:t>
      </w:r>
      <w:r w:rsidR="002B5321">
        <w:t xml:space="preserve">, verfügbar unter </w:t>
      </w:r>
      <w:r w:rsidR="002B5321" w:rsidRPr="00D06AE9">
        <w:t>http://archiv.bundeskanzleramt.at/DocView.axd?CobId=1656</w:t>
      </w:r>
      <w:r w:rsidR="008B234D">
        <w:t>)</w:t>
      </w:r>
      <w:r w:rsidR="00B25802">
        <w:t>.</w:t>
      </w:r>
      <w:r w:rsidR="002A16B9">
        <w:t xml:space="preserve"> Ähnliche Bestrebungen gibt es ausweislich des oben angeführten Dokuments auf Ebene der </w:t>
      </w:r>
      <w:r w:rsidR="00A40100">
        <w:t>E</w:t>
      </w:r>
      <w:r w:rsidR="002A16B9">
        <w:t>uropäischen Kommission.</w:t>
      </w:r>
      <w:r w:rsidR="008B234D">
        <w:t xml:space="preserve"> </w:t>
      </w:r>
      <w:r w:rsidR="003F667B">
        <w:t xml:space="preserve">Klarheit, Präzision, Widerspruchsfreiheit, Lesbarkeit und Verständlichkeit sind insbesondere bei Gesetzen schon aus rechtsstaatlicher Sicht geboten. Dies lässt sich ohne weiteres auf </w:t>
      </w:r>
      <w:r w:rsidR="00B25864">
        <w:t>Datenschutzt</w:t>
      </w:r>
      <w:r w:rsidR="003F667B">
        <w:t xml:space="preserve">exte übertragen. Weitere in der Richtlinie angesprochene Punkte sind </w:t>
      </w:r>
      <w:r w:rsidR="00F21130">
        <w:t xml:space="preserve">der Verzicht auf Schachtelsätze, die Beschränkung eines Satzes auf möglichst eine zentrale Aussage und wie bereits oben erwähnt die Beschränkung der Satzlänge. Als Anhaltspunkt wird dort von einer Maximallänge von 20 Wörtern ausgegangen. </w:t>
      </w:r>
    </w:p>
    <w:p w14:paraId="74A33DC2" w14:textId="60BE4DEA" w:rsidR="00E50221" w:rsidRDefault="004868E3" w:rsidP="0032437C">
      <w:r>
        <w:t xml:space="preserve">Im Feld der Kommunikationsoptimierung gibt es </w:t>
      </w:r>
      <w:r w:rsidR="00794569">
        <w:t>zusätzlich</w:t>
      </w:r>
      <w:r>
        <w:t xml:space="preserve"> ein großes Angebot an Werbeagenturen und spezialisierten Dienstleistern, die über das nötige Know</w:t>
      </w:r>
      <w:r w:rsidR="00F30774">
        <w:t>h</w:t>
      </w:r>
      <w:r>
        <w:t>ow verfügen</w:t>
      </w:r>
      <w:r w:rsidR="00F778C4">
        <w:t>,</w:t>
      </w:r>
      <w:r>
        <w:t xml:space="preserve"> um insbesondere kleinen Unternehmen </w:t>
      </w:r>
      <w:r w:rsidR="00EF1FD2">
        <w:t xml:space="preserve">und Behörden </w:t>
      </w:r>
      <w:r>
        <w:t>ohne eigene PR-Abteilung bei der Erstellung verständlicher Texte zu unterstützen.</w:t>
      </w:r>
      <w:r w:rsidR="00E50221">
        <w:t xml:space="preserve"> </w:t>
      </w:r>
    </w:p>
    <w:p w14:paraId="2A7BF82F" w14:textId="153EE72C" w:rsidR="00637B73" w:rsidRDefault="00637B73" w:rsidP="008E55DF">
      <w:pPr>
        <w:pStyle w:val="berschrift7"/>
      </w:pPr>
      <w:bookmarkStart w:id="289" w:name="_Toc471812241"/>
      <w:bookmarkStart w:id="290" w:name="_Toc471818808"/>
      <w:bookmarkStart w:id="291" w:name="_Toc471826488"/>
      <w:bookmarkStart w:id="292" w:name="_Toc471828090"/>
      <w:bookmarkStart w:id="293" w:name="_Toc471829447"/>
      <w:bookmarkStart w:id="294" w:name="_Toc512241319"/>
      <w:r>
        <w:t>Kommunikation auf der Inhaltsebene</w:t>
      </w:r>
      <w:bookmarkEnd w:id="289"/>
      <w:bookmarkEnd w:id="290"/>
      <w:bookmarkEnd w:id="291"/>
      <w:bookmarkEnd w:id="292"/>
      <w:bookmarkEnd w:id="293"/>
      <w:bookmarkEnd w:id="294"/>
    </w:p>
    <w:p w14:paraId="2845880A" w14:textId="2CEC7991" w:rsidR="004868E3" w:rsidRDefault="00E50221" w:rsidP="0032437C">
      <w:r>
        <w:t xml:space="preserve">Freilich ist neben den oben geschilderten </w:t>
      </w:r>
      <w:r w:rsidR="00D1568B">
        <w:t>Äußerlichkeiten</w:t>
      </w:r>
      <w:r>
        <w:t xml:space="preserve"> auch inhaltlich darauf zu achten, dass die Privacy </w:t>
      </w:r>
      <w:proofErr w:type="spellStart"/>
      <w:r>
        <w:t>Policies</w:t>
      </w:r>
      <w:proofErr w:type="spellEnd"/>
      <w:r>
        <w:t xml:space="preserve"> nicht nur dazu dienen</w:t>
      </w:r>
      <w:r w:rsidR="0061058E">
        <w:t xml:space="preserve"> dürfen</w:t>
      </w:r>
      <w:r>
        <w:t xml:space="preserve">, </w:t>
      </w:r>
      <w:r w:rsidR="00D1568B">
        <w:t xml:space="preserve">der </w:t>
      </w:r>
      <w:r w:rsidR="00BF3791">
        <w:t>Verantwortlichen Stelle</w:t>
      </w:r>
      <w:r>
        <w:t xml:space="preserve"> möglichst viele Daten zu verschaffen und Datenschutzprobleme zu relativieren. Auf diese Weise kann </w:t>
      </w:r>
      <w:r w:rsidR="00204041">
        <w:t>selbst</w:t>
      </w:r>
      <w:r>
        <w:t xml:space="preserve"> ein </w:t>
      </w:r>
      <w:r w:rsidR="0090735D">
        <w:t>gut formuliertes</w:t>
      </w:r>
      <w:r>
        <w:t xml:space="preserve"> Dokument </w:t>
      </w:r>
      <w:r w:rsidR="00204041">
        <w:t xml:space="preserve">kein </w:t>
      </w:r>
      <w:r w:rsidR="0090735D">
        <w:t>dauerhaft</w:t>
      </w:r>
      <w:r w:rsidR="00204041">
        <w:t>es</w:t>
      </w:r>
      <w:r>
        <w:t xml:space="preserve"> Vertrauen der Betroffenen wecken. Zu weite, pauschale Ermächtigungen sind </w:t>
      </w:r>
      <w:r w:rsidR="0090735D">
        <w:t xml:space="preserve">zudem </w:t>
      </w:r>
      <w:r>
        <w:t>auch rechtlich problematisch, wie die Kontrolle der Datenschutzbestimmungen von Google durch die Art</w:t>
      </w:r>
      <w:r w:rsidR="00A64809">
        <w:t>ikel </w:t>
      </w:r>
      <w:r>
        <w:t xml:space="preserve">29-Datenschutzgruppe im Jahr </w:t>
      </w:r>
      <w:r w:rsidR="00D3537C">
        <w:t xml:space="preserve">2012 </w:t>
      </w:r>
      <w:r>
        <w:t xml:space="preserve">deutlich machte. Insgesamt </w:t>
      </w:r>
      <w:r w:rsidR="00F84F8C">
        <w:t>zeigt sich</w:t>
      </w:r>
      <w:r>
        <w:t xml:space="preserve">, dass die Einhaltung </w:t>
      </w:r>
      <w:r w:rsidR="002D225F">
        <w:t xml:space="preserve">guter kommunikativer Standards </w:t>
      </w:r>
      <w:r>
        <w:t>häufig ohnehin Rechtspflicht ist.</w:t>
      </w:r>
    </w:p>
    <w:p w14:paraId="6277CDB2" w14:textId="2DD37397" w:rsidR="00E50221" w:rsidRDefault="00B93674" w:rsidP="000575C4">
      <w:pPr>
        <w:pStyle w:val="berschrift6"/>
      </w:pPr>
      <w:bookmarkStart w:id="295" w:name="_Toc471812242"/>
      <w:bookmarkStart w:id="296" w:name="_Toc471818809"/>
      <w:bookmarkStart w:id="297" w:name="_Toc471826489"/>
      <w:bookmarkStart w:id="298" w:name="_Toc471828091"/>
      <w:bookmarkStart w:id="299" w:name="_Toc471829448"/>
      <w:bookmarkStart w:id="300" w:name="_Toc512241320"/>
      <w:r>
        <w:t>Verwendung in der Datenschutzkommunikation</w:t>
      </w:r>
      <w:bookmarkEnd w:id="295"/>
      <w:bookmarkEnd w:id="296"/>
      <w:bookmarkEnd w:id="297"/>
      <w:bookmarkEnd w:id="298"/>
      <w:bookmarkEnd w:id="299"/>
      <w:bookmarkEnd w:id="300"/>
    </w:p>
    <w:p w14:paraId="00C7875F" w14:textId="49F724FC" w:rsidR="009A5552" w:rsidRDefault="007E5D5D" w:rsidP="00E02057">
      <w:pPr>
        <w:pStyle w:val="Schrifttum"/>
        <w:jc w:val="left"/>
      </w:pPr>
      <w:r w:rsidRPr="00D31CAC">
        <w:rPr>
          <w:i/>
        </w:rPr>
        <w:t>Lange-Hausstein</w:t>
      </w:r>
      <w:r w:rsidRPr="00E02057">
        <w:t xml:space="preserve">, </w:t>
      </w:r>
      <w:proofErr w:type="gramStart"/>
      <w:r w:rsidRPr="00E02057">
        <w:t>Automatisierte</w:t>
      </w:r>
      <w:proofErr w:type="gramEnd"/>
      <w:r w:rsidRPr="00E02057">
        <w:t xml:space="preserve"> Vertragsfreiheit, LTO [Legal </w:t>
      </w:r>
      <w:proofErr w:type="spellStart"/>
      <w:r w:rsidRPr="00E02057">
        <w:t>Tribune</w:t>
      </w:r>
      <w:proofErr w:type="spellEnd"/>
      <w:r w:rsidRPr="00E02057">
        <w:t xml:space="preserve"> Online], 28.12.2016</w:t>
      </w:r>
      <w:r>
        <w:t xml:space="preserve">, abrufbar unter </w:t>
      </w:r>
      <w:r w:rsidRPr="007E5D5D">
        <w:t>http://</w:t>
      </w:r>
      <w:r w:rsidR="00D42F21" w:rsidRPr="00D42F21">
        <w:t>t1p.de/0l4d</w:t>
      </w:r>
      <w:r w:rsidR="00557644">
        <w:t xml:space="preserve"> [</w:t>
      </w:r>
      <w:r w:rsidR="0069740C">
        <w:t xml:space="preserve">Legal </w:t>
      </w:r>
      <w:proofErr w:type="spellStart"/>
      <w:r w:rsidR="0069740C">
        <w:t>Tribune</w:t>
      </w:r>
      <w:proofErr w:type="spellEnd"/>
      <w:r w:rsidR="0069740C">
        <w:t xml:space="preserve"> Online</w:t>
      </w:r>
      <w:r w:rsidR="00557644">
        <w:t>, kostenfrei]</w:t>
      </w:r>
    </w:p>
    <w:p w14:paraId="5391A3AC" w14:textId="2952A40D" w:rsidR="009A5552" w:rsidRDefault="007E5D5D" w:rsidP="00E02057">
      <w:pPr>
        <w:pStyle w:val="Schrifttum"/>
        <w:jc w:val="left"/>
      </w:pPr>
      <w:proofErr w:type="spellStart"/>
      <w:r w:rsidRPr="00D31CAC">
        <w:rPr>
          <w:i/>
        </w:rPr>
        <w:t>Steinlechner</w:t>
      </w:r>
      <w:proofErr w:type="spellEnd"/>
      <w:r w:rsidRPr="00351F3C">
        <w:t xml:space="preserve">, </w:t>
      </w:r>
      <w:r w:rsidRPr="00E02057">
        <w:t xml:space="preserve">Verbraucherschützer: IT-Branche schadet sich mit starren AGB-Vorgaben, </w:t>
      </w:r>
      <w:proofErr w:type="spellStart"/>
      <w:r w:rsidRPr="00E02057">
        <w:t>golem</w:t>
      </w:r>
      <w:proofErr w:type="spellEnd"/>
      <w:r w:rsidRPr="00E02057">
        <w:t xml:space="preserve"> IT-News, 29.12.2016</w:t>
      </w:r>
      <w:r>
        <w:t xml:space="preserve">, abrufbar unter </w:t>
      </w:r>
      <w:r w:rsidRPr="007E5D5D">
        <w:t>http://</w:t>
      </w:r>
      <w:r w:rsidR="00D42F21" w:rsidRPr="00D42F21">
        <w:t xml:space="preserve">t1p.de/z901 </w:t>
      </w:r>
      <w:r w:rsidR="00557644">
        <w:t>[</w:t>
      </w:r>
      <w:proofErr w:type="spellStart"/>
      <w:r w:rsidR="00557644">
        <w:t>golem</w:t>
      </w:r>
      <w:proofErr w:type="spellEnd"/>
      <w:r w:rsidR="0069740C">
        <w:t xml:space="preserve"> IT-News</w:t>
      </w:r>
      <w:r w:rsidR="00557644">
        <w:t>, kostenfrei]</w:t>
      </w:r>
    </w:p>
    <w:p w14:paraId="5C136B82" w14:textId="626C4BA8" w:rsidR="009A5552" w:rsidRPr="006547CA" w:rsidRDefault="007E5D5D" w:rsidP="00E02057">
      <w:pPr>
        <w:pStyle w:val="Schrifttum"/>
        <w:jc w:val="left"/>
      </w:pPr>
      <w:proofErr w:type="spellStart"/>
      <w:r w:rsidRPr="00102923">
        <w:rPr>
          <w:i/>
        </w:rPr>
        <w:t>Schätzle</w:t>
      </w:r>
      <w:proofErr w:type="spellEnd"/>
      <w:r w:rsidRPr="00E02057">
        <w:t xml:space="preserve">, </w:t>
      </w:r>
      <w:proofErr w:type="gramStart"/>
      <w:r w:rsidRPr="00E02057">
        <w:t>Smarte</w:t>
      </w:r>
      <w:proofErr w:type="gramEnd"/>
      <w:r w:rsidRPr="00E02057">
        <w:t xml:space="preserve"> Assistenzsysteme als Entscheidungsersatz, </w:t>
      </w:r>
      <w:proofErr w:type="spellStart"/>
      <w:r w:rsidRPr="00E02057">
        <w:t>Telemedicus</w:t>
      </w:r>
      <w:proofErr w:type="spellEnd"/>
      <w:r w:rsidRPr="00E02057">
        <w:t xml:space="preserve"> Sommerkonferenz 2015</w:t>
      </w:r>
      <w:r>
        <w:t xml:space="preserve">, abrufbar unter </w:t>
      </w:r>
      <w:r w:rsidRPr="007E5D5D">
        <w:t>http://</w:t>
      </w:r>
      <w:r w:rsidR="00D42F21" w:rsidRPr="00D42F21">
        <w:t>t1p.de/m2xh</w:t>
      </w:r>
      <w:r w:rsidR="00D42F21">
        <w:t xml:space="preserve"> [</w:t>
      </w:r>
      <w:proofErr w:type="spellStart"/>
      <w:r w:rsidR="00D42F21">
        <w:t>PinG</w:t>
      </w:r>
      <w:proofErr w:type="spellEnd"/>
      <w:r w:rsidR="00D42F21">
        <w:t xml:space="preserve"> Blog, kostenfrei]</w:t>
      </w:r>
    </w:p>
    <w:p w14:paraId="4C7B7C9B" w14:textId="4CE94671" w:rsidR="00CD3DA8" w:rsidRDefault="004842B3" w:rsidP="00BF1C86">
      <w:r w:rsidRPr="006547CA">
        <w:t>Anknüpfend an die obigen Darstellungen</w:t>
      </w:r>
      <w:r w:rsidR="009A5552">
        <w:t xml:space="preserve"> zur Nutzung der interaktiven </w:t>
      </w:r>
      <w:r w:rsidR="00DD4D7A">
        <w:t>Gestaltungsm</w:t>
      </w:r>
      <w:r w:rsidR="009A5552">
        <w:t>öglichkeiten</w:t>
      </w:r>
      <w:r>
        <w:t xml:space="preserve"> könnte zur Umsetzung auch an ein umfang</w:t>
      </w:r>
      <w:r w:rsidR="00700F07">
        <w:t>reiches Privacy Assistenzsystem</w:t>
      </w:r>
      <w:r>
        <w:t xml:space="preserve"> gedacht werden. Rechtlich verpflichtend ist dies freilich nicht. Gerade deswegen könnte sich ein Verarbeiter aber hier deutlich positiv von der Konkurrenz </w:t>
      </w:r>
      <w:r w:rsidR="00C27989">
        <w:t xml:space="preserve">oder dem bloßen Pflichtprogramm </w:t>
      </w:r>
      <w:r>
        <w:t xml:space="preserve">abheben. </w:t>
      </w:r>
    </w:p>
    <w:p w14:paraId="7C2359CA" w14:textId="20B7DBAC" w:rsidR="004842B3" w:rsidRDefault="004842B3" w:rsidP="00BF1C86">
      <w:r>
        <w:lastRenderedPageBreak/>
        <w:t>Erste Ansätze, die sich aber in der Praxis bisher leider kaum durchgesetzt haben, lieferte hierfür auf Protokoll-Ebene der p3p-Standard. Datenschutzerklärungen sollten mit dieser Hilfe durch die Bereitstellung von maschinenlesbaren Informationen automatisch durch den Browser oder ein Plug</w:t>
      </w:r>
      <w:r w:rsidR="00BF1C86">
        <w:t>-I</w:t>
      </w:r>
      <w:r>
        <w:t>n mit den Datenschutzvorgaben des Nutzers abgeglichen werden.</w:t>
      </w:r>
    </w:p>
    <w:p w14:paraId="6E8FA428" w14:textId="67292EA5" w:rsidR="004842B3" w:rsidRDefault="004842B3" w:rsidP="00BF1C86">
      <w:r>
        <w:t xml:space="preserve">Konsequent weitergedacht könnte durch den Einsatz von geeigneten Algorithmen an dieser Stelle über die Voreinstellungen des Nutzers hinaus anhand </w:t>
      </w:r>
      <w:r w:rsidR="00AE2C3A">
        <w:t>des</w:t>
      </w:r>
      <w:r>
        <w:t xml:space="preserve"> bisherigen Zustimmungsverhaltens eine Zustimmung oder Ablehnung der Bedingungen ermittelt und diesem präsentiert werden. Durch die Zuhilfenahme solcher technische</w:t>
      </w:r>
      <w:r w:rsidR="00E904F3">
        <w:t>n</w:t>
      </w:r>
      <w:r>
        <w:t xml:space="preserve"> Systeme kann der „</w:t>
      </w:r>
      <w:r w:rsidRPr="005130C7">
        <w:rPr>
          <w:lang w:val="en-US"/>
        </w:rPr>
        <w:t>information overflow</w:t>
      </w:r>
      <w:r>
        <w:t>“ wirkungsvoll eingedämmt werden.</w:t>
      </w:r>
    </w:p>
    <w:p w14:paraId="7255CE84" w14:textId="7581E7C7" w:rsidR="004842B3" w:rsidRDefault="00E11B9C" w:rsidP="00BF1C86">
      <w:r>
        <w:t>W</w:t>
      </w:r>
      <w:r w:rsidR="004842B3">
        <w:t>ie in vielen anderen Bereichen schon üblich</w:t>
      </w:r>
      <w:r w:rsidR="00AE2C3A">
        <w:t>,</w:t>
      </w:r>
      <w:r w:rsidR="004842B3">
        <w:t xml:space="preserve"> wäre auch ein auf Userbewertunge</w:t>
      </w:r>
      <w:r w:rsidR="009017CD">
        <w:t>n basiertes System denkbar, da</w:t>
      </w:r>
      <w:r w:rsidR="00AE2C3A">
        <w:t>s</w:t>
      </w:r>
      <w:r w:rsidR="004842B3">
        <w:t xml:space="preserve"> Seiten aufgrund ihrer Verpflichtung zu bestimmten Datenschutzprinzipien für vertrauenswürdig erklärt. </w:t>
      </w:r>
    </w:p>
    <w:p w14:paraId="6B312080" w14:textId="7AC45E26" w:rsidR="004842B3" w:rsidRPr="006547CA" w:rsidRDefault="004842B3" w:rsidP="00BF1C86">
      <w:r>
        <w:t>Solche Lösungen von durchdachten Privacy Assistenz-Systemen können bei geeigneter technischer Umsetzung eine höhere Flexibilität ermöglichen</w:t>
      </w:r>
      <w:r w:rsidR="009E5FA6">
        <w:t>:</w:t>
      </w:r>
      <w:r>
        <w:t xml:space="preserve"> </w:t>
      </w:r>
      <w:proofErr w:type="gramStart"/>
      <w:r>
        <w:t>Zur Zeit</w:t>
      </w:r>
      <w:proofErr w:type="gramEnd"/>
      <w:r>
        <w:t xml:space="preserve"> kann der dargestellte Datenschutzstandard eines Unternehmens entweder bestätigt oder abgelehnt werden. Es erscheint aber durchaus denkbar, dass ein durch die Ablehnung verlorener Kunde durch eine flexiblere Gestaltung</w:t>
      </w:r>
      <w:r w:rsidR="00AE2C3A">
        <w:t xml:space="preserve"> </w:t>
      </w:r>
      <w:r>
        <w:t xml:space="preserve">davon überzeugt werden kann, das angebotene Produkt doch </w:t>
      </w:r>
      <w:r w:rsidR="009A5552">
        <w:t xml:space="preserve">in Anspruch zu nehmen. </w:t>
      </w:r>
      <w:r w:rsidR="00AE2C3A">
        <w:t>Die</w:t>
      </w:r>
      <w:r w:rsidR="00696F91">
        <w:t>s</w:t>
      </w:r>
      <w:r w:rsidR="00AE2C3A">
        <w:t xml:space="preserve"> kann</w:t>
      </w:r>
      <w:r>
        <w:t xml:space="preserve"> beispielsweise schon durch die Abwahlmöglichkeit von in der Gesamtschau zweitrangigen Verarbeitungen</w:t>
      </w:r>
      <w:r w:rsidR="00AE2C3A">
        <w:t xml:space="preserve"> realisiert werden.</w:t>
      </w:r>
      <w:r w:rsidR="009A5552">
        <w:t xml:space="preserve"> Letztendlich könnten hier brachliegende Potentiale genutzt werden.</w:t>
      </w:r>
    </w:p>
    <w:p w14:paraId="19BF59B7" w14:textId="0D278CB5" w:rsidR="009017CD" w:rsidRDefault="009017CD" w:rsidP="009017CD">
      <w:bookmarkStart w:id="301" w:name="_Toc470178843"/>
      <w:bookmarkStart w:id="302" w:name="_Toc470178844"/>
      <w:bookmarkStart w:id="303" w:name="_Toc469776789"/>
      <w:bookmarkStart w:id="304" w:name="_Toc471812243"/>
      <w:bookmarkEnd w:id="301"/>
      <w:bookmarkEnd w:id="302"/>
      <w:r>
        <w:t xml:space="preserve">Sicher betritt man als Verarbeiter zum jetzigen Zeitpunkt mit solchen Ansätzen noch Neuland. Anderseits ermöglicht gerade die Stellung als Pionier in diesem Bereich Vorteile gegenüber denjenigen, die hier erst später auf den Zug aufspringen. </w:t>
      </w:r>
    </w:p>
    <w:p w14:paraId="430769F2" w14:textId="79EF6B31" w:rsidR="00F53FDC" w:rsidRDefault="00F53FDC" w:rsidP="00DC7166">
      <w:pPr>
        <w:pStyle w:val="berschrift4"/>
      </w:pPr>
      <w:bookmarkStart w:id="305" w:name="_Toc471818810"/>
      <w:bookmarkStart w:id="306" w:name="_Toc471826490"/>
      <w:bookmarkStart w:id="307" w:name="_Toc471828092"/>
      <w:bookmarkStart w:id="308" w:name="_Toc471829449"/>
      <w:bookmarkStart w:id="309" w:name="_Toc512241321"/>
      <w:r>
        <w:t>Spezifische Kommunikationsanlässe</w:t>
      </w:r>
      <w:bookmarkEnd w:id="303"/>
      <w:bookmarkEnd w:id="304"/>
      <w:bookmarkEnd w:id="305"/>
      <w:bookmarkEnd w:id="306"/>
      <w:bookmarkEnd w:id="307"/>
      <w:bookmarkEnd w:id="308"/>
      <w:bookmarkEnd w:id="309"/>
    </w:p>
    <w:p w14:paraId="70F027DD" w14:textId="23521FA2" w:rsidR="009F3C78" w:rsidRPr="009F3C78" w:rsidRDefault="009F3C78" w:rsidP="009F3C78">
      <w:r>
        <w:t xml:space="preserve">Während also eine allgemeine Datenschutzkommunikation </w:t>
      </w:r>
      <w:r w:rsidR="007F6C07">
        <w:t xml:space="preserve">an die Öffentlichkeit </w:t>
      </w:r>
      <w:r>
        <w:t xml:space="preserve">in Form von Privacy </w:t>
      </w:r>
      <w:proofErr w:type="spellStart"/>
      <w:r>
        <w:t>Policies</w:t>
      </w:r>
      <w:proofErr w:type="spellEnd"/>
      <w:r>
        <w:t xml:space="preserve"> o.ä. </w:t>
      </w:r>
      <w:r w:rsidR="00114480">
        <w:t xml:space="preserve">nützlich sein kann, aber </w:t>
      </w:r>
      <w:r>
        <w:t xml:space="preserve">nicht vorgeschrieben ist, </w:t>
      </w:r>
      <w:r w:rsidR="007F6C07">
        <w:t xml:space="preserve">ist der Betroffene im Kontext konkreter Datenverarbeitungen </w:t>
      </w:r>
      <w:r w:rsidR="00114480">
        <w:t xml:space="preserve">verpflichtend </w:t>
      </w:r>
      <w:r w:rsidR="007F6C07">
        <w:t>nach Maßgabe des Datenschutzrechts zu informieren.</w:t>
      </w:r>
      <w:r w:rsidR="008E3B04">
        <w:t xml:space="preserve"> Hier bestehen detaillierte Vorgaben, die aber nicht (nur) nach den Buchstaben des Gesetzes erfüllt werden müssen, sondern denen noch ein kommunikativer Mehrwert mitgegeben werden kann.</w:t>
      </w:r>
    </w:p>
    <w:p w14:paraId="5BDBCAF1" w14:textId="66CFBDCE" w:rsidR="000B5516" w:rsidRDefault="000B5516" w:rsidP="00DC7166">
      <w:pPr>
        <w:pStyle w:val="berschrift5"/>
      </w:pPr>
      <w:bookmarkStart w:id="310" w:name="_Toc469776790"/>
      <w:bookmarkStart w:id="311" w:name="_Toc471812244"/>
      <w:bookmarkStart w:id="312" w:name="_Toc471818811"/>
      <w:bookmarkStart w:id="313" w:name="_Toc471826491"/>
      <w:bookmarkStart w:id="314" w:name="_Toc471828093"/>
      <w:bookmarkStart w:id="315" w:name="_Toc471829450"/>
      <w:bookmarkStart w:id="316" w:name="_Toc512241322"/>
      <w:r>
        <w:t>Gesetzl</w:t>
      </w:r>
      <w:r w:rsidR="008F0A6E">
        <w:t xml:space="preserve">iche Informierungspflichten </w:t>
      </w:r>
      <w:r w:rsidR="00B839F8">
        <w:t xml:space="preserve">des </w:t>
      </w:r>
      <w:r w:rsidR="00BF3791">
        <w:t xml:space="preserve">Verantwortlichen </w:t>
      </w:r>
      <w:r>
        <w:t>gegenüber dem Betroffenen</w:t>
      </w:r>
      <w:bookmarkEnd w:id="310"/>
      <w:bookmarkEnd w:id="311"/>
      <w:bookmarkEnd w:id="312"/>
      <w:bookmarkEnd w:id="313"/>
      <w:bookmarkEnd w:id="314"/>
      <w:bookmarkEnd w:id="315"/>
      <w:bookmarkEnd w:id="316"/>
    </w:p>
    <w:p w14:paraId="18DD7072" w14:textId="6F328D00" w:rsidR="00624740" w:rsidRDefault="3C8091D4" w:rsidP="00C77EC6">
      <w:r>
        <w:t xml:space="preserve">Zur Verringerung des Informationsgefälles zwischen Betroffenem und </w:t>
      </w:r>
      <w:r w:rsidR="008F0A6E">
        <w:t xml:space="preserve">der </w:t>
      </w:r>
      <w:r w:rsidR="00BF3791">
        <w:t>Verantwortlichen Stelle</w:t>
      </w:r>
      <w:r>
        <w:t xml:space="preserve"> sieht das Datenschutzrecht zeitlich dreifach gestufte Informierungen vor:</w:t>
      </w:r>
    </w:p>
    <w:p w14:paraId="5D2E8160" w14:textId="631B13A4" w:rsidR="000B5516" w:rsidRDefault="3C8091D4" w:rsidP="00C77EC6">
      <w:r>
        <w:t xml:space="preserve">Im Regelfall soll der </w:t>
      </w:r>
      <w:r w:rsidRPr="00E007F8">
        <w:t xml:space="preserve">Betroffene </w:t>
      </w:r>
      <w:r w:rsidR="00784BCD" w:rsidRPr="00E007F8">
        <w:t xml:space="preserve">vor oder </w:t>
      </w:r>
      <w:r w:rsidRPr="00E007F8">
        <w:t xml:space="preserve">bei der Erhebung der Daten bereits unterrichtet werden. Dies ist </w:t>
      </w:r>
      <w:r w:rsidR="007E3B0E" w:rsidRPr="00E007F8">
        <w:t xml:space="preserve">im Falle der Einwilligung (a.) und </w:t>
      </w:r>
      <w:r w:rsidRPr="00E007F8">
        <w:t xml:space="preserve">bei der sog. Direkterhebung </w:t>
      </w:r>
      <w:r w:rsidR="007E3B0E" w:rsidRPr="00E007F8">
        <w:t xml:space="preserve">(b.) </w:t>
      </w:r>
      <w:r w:rsidRPr="00E007F8">
        <w:t xml:space="preserve">unproblematisch umsetzbar, da ohnehin ein Kontakt und eine Kommunikation besteht. </w:t>
      </w:r>
      <w:r w:rsidR="001514D2" w:rsidRPr="00E007F8">
        <w:t xml:space="preserve">Besteht kein direkter Kontakt, wird zum Teil auf die Kenntnisnahme einer Kennzeichnung </w:t>
      </w:r>
      <w:r w:rsidR="00756D03" w:rsidRPr="00E007F8">
        <w:t xml:space="preserve">(b.cc)) </w:t>
      </w:r>
      <w:r w:rsidR="001514D2" w:rsidRPr="00E007F8">
        <w:t xml:space="preserve">gesetzt. </w:t>
      </w:r>
      <w:r w:rsidRPr="00E007F8">
        <w:t>Wo dies nicht der Fall bzw. nicht praktikabel ist, sieht das Gesetz die na</w:t>
      </w:r>
      <w:r w:rsidR="00981FFB" w:rsidRPr="00E007F8">
        <w:t xml:space="preserve">chgängige Benachrichtigung </w:t>
      </w:r>
      <w:r w:rsidR="007E3B0E" w:rsidRPr="00E007F8">
        <w:t xml:space="preserve">(c.) </w:t>
      </w:r>
      <w:r w:rsidR="00981FFB" w:rsidRPr="00E007F8">
        <w:t xml:space="preserve">vor. </w:t>
      </w:r>
      <w:r w:rsidRPr="00E007F8">
        <w:t>Insbesondere ist dies dort der Fall, wo Daten nicht vom Betroffenen selb</w:t>
      </w:r>
      <w:r w:rsidR="001F38DA" w:rsidRPr="00E007F8">
        <w:t>st</w:t>
      </w:r>
      <w:r w:rsidRPr="00E007F8">
        <w:t>, sondern aus anderer Quelle erhoben werden. Wenn der Betroffene weitere Einzelheiten wissen will</w:t>
      </w:r>
      <w:r w:rsidR="001F38DA" w:rsidRPr="00E007F8">
        <w:t>,</w:t>
      </w:r>
      <w:r w:rsidRPr="00E007F8">
        <w:t xml:space="preserve"> die initiale Information bei ihm nicht (mehr) vorhanden ist</w:t>
      </w:r>
      <w:r w:rsidR="004A258B" w:rsidRPr="00E007F8">
        <w:t xml:space="preserve"> oder (ausnahmsweise) entbehrlich war</w:t>
      </w:r>
      <w:r w:rsidRPr="00E007F8">
        <w:t>, besitzt er ein Auskunftsrecht</w:t>
      </w:r>
      <w:r w:rsidR="007E3B0E" w:rsidRPr="00E007F8">
        <w:t xml:space="preserve"> (d.)</w:t>
      </w:r>
      <w:r w:rsidRPr="00E007F8">
        <w:t>.</w:t>
      </w:r>
      <w:r>
        <w:t xml:space="preserve"> </w:t>
      </w:r>
    </w:p>
    <w:p w14:paraId="1D1A8963" w14:textId="6789368C" w:rsidR="00D702B8" w:rsidRDefault="00D702B8" w:rsidP="00D702B8">
      <w:pPr>
        <w:pStyle w:val="berschrift6"/>
      </w:pPr>
      <w:bookmarkStart w:id="317" w:name="_Toc469776791"/>
      <w:bookmarkStart w:id="318" w:name="_Toc471812245"/>
      <w:bookmarkStart w:id="319" w:name="_Toc471818812"/>
      <w:bookmarkStart w:id="320" w:name="_Toc471826492"/>
      <w:bookmarkStart w:id="321" w:name="_Toc471828094"/>
      <w:bookmarkStart w:id="322" w:name="_Toc471829451"/>
      <w:bookmarkStart w:id="323" w:name="_Toc512241323"/>
      <w:r>
        <w:lastRenderedPageBreak/>
        <w:t>Information für</w:t>
      </w:r>
      <w:r w:rsidRPr="006F00A1">
        <w:t xml:space="preserve"> Einwilligung</w:t>
      </w:r>
      <w:bookmarkEnd w:id="317"/>
      <w:bookmarkEnd w:id="318"/>
      <w:bookmarkEnd w:id="319"/>
      <w:bookmarkEnd w:id="320"/>
      <w:bookmarkEnd w:id="321"/>
      <w:bookmarkEnd w:id="322"/>
      <w:bookmarkEnd w:id="323"/>
    </w:p>
    <w:p w14:paraId="74FF7945" w14:textId="1CD2CD15" w:rsidR="004D27DB" w:rsidRDefault="004D27DB" w:rsidP="00102923">
      <w:pPr>
        <w:pStyle w:val="Schrifttum"/>
        <w:jc w:val="left"/>
      </w:pPr>
      <w:r w:rsidRPr="006547CA">
        <w:rPr>
          <w:i/>
        </w:rPr>
        <w:t>Pollmann/</w:t>
      </w:r>
      <w:proofErr w:type="spellStart"/>
      <w:r w:rsidRPr="006547CA">
        <w:rPr>
          <w:i/>
        </w:rPr>
        <w:t>Kipker</w:t>
      </w:r>
      <w:proofErr w:type="spellEnd"/>
      <w:r>
        <w:t xml:space="preserve">, </w:t>
      </w:r>
      <w:proofErr w:type="gramStart"/>
      <w:r>
        <w:t>Informierte</w:t>
      </w:r>
      <w:proofErr w:type="gramEnd"/>
      <w:r>
        <w:t xml:space="preserve"> Einwilligung in der Online-Welt, </w:t>
      </w:r>
      <w:proofErr w:type="spellStart"/>
      <w:r>
        <w:t>DuD</w:t>
      </w:r>
      <w:proofErr w:type="spellEnd"/>
      <w:r>
        <w:t xml:space="preserve"> [Datenschutz und Datensicherheit] 2016, S. 378 ff.</w:t>
      </w:r>
      <w:r w:rsidR="00491185">
        <w:t xml:space="preserve">, abrufbar unter </w:t>
      </w:r>
      <w:r w:rsidR="00DC715F" w:rsidRPr="00DC715F">
        <w:t>http://</w:t>
      </w:r>
      <w:r w:rsidR="00E812D9" w:rsidRPr="00E812D9">
        <w:t xml:space="preserve">t1p.de/mrcm </w:t>
      </w:r>
      <w:r w:rsidR="00E812D9">
        <w:t>[Springer Link, kostenpflichtig]</w:t>
      </w:r>
    </w:p>
    <w:p w14:paraId="1E155869" w14:textId="29BFAD37" w:rsidR="00D702B8" w:rsidRDefault="00D702B8" w:rsidP="00D702B8">
      <w:r>
        <w:t>Neben der Verarbeitung von Daten auf Grundlage einer gesetzlichen Erlaubnis besteht die Möglichkeit</w:t>
      </w:r>
      <w:r w:rsidR="00D13517">
        <w:t>,</w:t>
      </w:r>
      <w:r>
        <w:t xml:space="preserve"> darüber hinaus Daten mit Einwilligung des Betroffenen zu verarbeiten. </w:t>
      </w:r>
    </w:p>
    <w:p w14:paraId="33ED6586" w14:textId="0878CAA2" w:rsidR="00D702B8" w:rsidRDefault="00D13517" w:rsidP="00D702B8">
      <w:r>
        <w:t>Hier „lohnt“ sich</w:t>
      </w:r>
      <w:r w:rsidR="00D702B8">
        <w:t xml:space="preserve"> die Kommunikation über die Erfüllung der rechtlichen Pflichten hinaus. </w:t>
      </w:r>
      <w:r w:rsidR="00DF4ED4">
        <w:t>So</w:t>
      </w:r>
      <w:r w:rsidR="00D702B8">
        <w:t xml:space="preserve"> kann sich der Bearbeiter </w:t>
      </w:r>
      <w:r>
        <w:t xml:space="preserve">nämlich die Erlaubnis für die Verarbeitung </w:t>
      </w:r>
      <w:r w:rsidR="00D702B8">
        <w:t>weitere</w:t>
      </w:r>
      <w:r>
        <w:t>r</w:t>
      </w:r>
      <w:r w:rsidR="00D702B8">
        <w:t xml:space="preserve"> Daten </w:t>
      </w:r>
      <w:r>
        <w:t xml:space="preserve">und in zusätzlichen Kontexten </w:t>
      </w:r>
      <w:r w:rsidR="00D702B8">
        <w:t>erschließen, die er sonst nicht verarbeiten dürfte.</w:t>
      </w:r>
    </w:p>
    <w:p w14:paraId="3BA8B6C7" w14:textId="77D06C19" w:rsidR="00D702B8" w:rsidRDefault="00D702B8" w:rsidP="00D702B8">
      <w:r>
        <w:t xml:space="preserve">Für die Kommunikation mit dem Betroffenen im Hinblick auf seine Einwilligung sind daher zwei </w:t>
      </w:r>
      <w:r w:rsidR="00340E73">
        <w:t xml:space="preserve">Aspekte </w:t>
      </w:r>
      <w:r>
        <w:t>zu beachten: Zum einen enthält die DSGVO diverse rechtliche Vorgaben</w:t>
      </w:r>
      <w:r w:rsidR="00DF4ED4">
        <w:t xml:space="preserve">, die für die </w:t>
      </w:r>
      <w:r>
        <w:t xml:space="preserve">Wirksamkeit der Einwilligung </w:t>
      </w:r>
      <w:r w:rsidR="00DF4ED4">
        <w:t>entscheidend sind</w:t>
      </w:r>
      <w:r w:rsidR="00EC3A37">
        <w:t xml:space="preserve"> und d</w:t>
      </w:r>
      <w:r>
        <w:t>ie umfangreiche Anforderungen an Art und Qualität der Kommunikation</w:t>
      </w:r>
      <w:r w:rsidR="00EC3A37">
        <w:t xml:space="preserve"> stellen</w:t>
      </w:r>
      <w:r>
        <w:t>. Zum anderen muss die Kommunikation auch unabhängig von diesen rechtlichen Vorgaben so erfolgen, dass sie beim Betroffenen das nötige Vertrauen weckt, um in eine Verarbeitung einzuwilligen. Ursprünglich als Instrument der informationellen Selbstbestimmung gedacht, wird die Einwilligung so zunehmend als Instrument zur Kommerzialisierung der eigenen persönlichen Daten (Daten im „Tausch“ gegen Leistung) genutzt.</w:t>
      </w:r>
    </w:p>
    <w:p w14:paraId="5E34212A" w14:textId="2A5ADE8B" w:rsidR="0011089F" w:rsidRDefault="0011089F" w:rsidP="007E74C8">
      <w:pPr>
        <w:pStyle w:val="berschrift7"/>
      </w:pPr>
      <w:bookmarkStart w:id="324" w:name="_Toc471812246"/>
      <w:bookmarkStart w:id="325" w:name="_Toc471818813"/>
      <w:bookmarkStart w:id="326" w:name="_Toc471826493"/>
      <w:bookmarkStart w:id="327" w:name="_Toc471828095"/>
      <w:bookmarkStart w:id="328" w:name="_Toc471829452"/>
      <w:bookmarkStart w:id="329" w:name="_Toc512241324"/>
      <w:r>
        <w:t>Verfahren und Form der Einwilligung</w:t>
      </w:r>
      <w:bookmarkEnd w:id="324"/>
      <w:bookmarkEnd w:id="325"/>
      <w:bookmarkEnd w:id="326"/>
      <w:bookmarkEnd w:id="327"/>
      <w:bookmarkEnd w:id="328"/>
      <w:bookmarkEnd w:id="329"/>
    </w:p>
    <w:p w14:paraId="2A2055D3" w14:textId="227A63A1" w:rsidR="00D702B8" w:rsidRDefault="008E6385" w:rsidP="00D702B8">
      <w:r>
        <w:t>D</w:t>
      </w:r>
      <w:r w:rsidR="00D702B8">
        <w:t xml:space="preserve">er </w:t>
      </w:r>
      <w:r>
        <w:t xml:space="preserve">Betroffene ist </w:t>
      </w:r>
      <w:r w:rsidR="00D702B8">
        <w:t>auf die Wider</w:t>
      </w:r>
      <w:r w:rsidR="00387DDF">
        <w:t>ruflichkeit dieser Einwilligung</w:t>
      </w:r>
      <w:r w:rsidR="00D702B8">
        <w:t xml:space="preserve"> sowie auf sein Widerspruchsrecht hinzuweisen. </w:t>
      </w:r>
      <w:r w:rsidR="000E47CE">
        <w:t>D</w:t>
      </w:r>
      <w:r w:rsidR="00D702B8">
        <w:t>iese Informationen müssen dem Nutzer jederzeit zum Abruf zur Verfügung stehen.</w:t>
      </w:r>
    </w:p>
    <w:p w14:paraId="35895299" w14:textId="02DD883F" w:rsidR="00D702B8" w:rsidRDefault="00D702B8" w:rsidP="00D702B8">
      <w:r>
        <w:t xml:space="preserve">Art. 4 Nr. 11 DSGVO </w:t>
      </w:r>
      <w:r w:rsidR="00C369FA">
        <w:t xml:space="preserve">enthält </w:t>
      </w:r>
      <w:r>
        <w:t xml:space="preserve">eine Definition der Einwilligung. Neben einer ausdrücklichen Erklärung werden hier auch eindeutige, bestätigende Handlungen zugelassen. </w:t>
      </w:r>
      <w:r w:rsidR="00B122F5">
        <w:t>Ausgeschlossen</w:t>
      </w:r>
      <w:r>
        <w:t xml:space="preserve"> soll hier </w:t>
      </w:r>
      <w:r w:rsidR="00B122F5">
        <w:t xml:space="preserve">angesichts </w:t>
      </w:r>
      <w:r>
        <w:t xml:space="preserve">des Erwägungsgrundes 32 die </w:t>
      </w:r>
      <w:r w:rsidR="00B122F5">
        <w:t xml:space="preserve">(nur) </w:t>
      </w:r>
      <w:r>
        <w:t>komplette Untätigkeit sein. So wird explizit erwähnt, dass Stillschweigen, vorangekreuzte Kästchen oder Untätigkeit keine Einwilligung darstellen können. Möglich wären demnach</w:t>
      </w:r>
      <w:r w:rsidR="0061228D">
        <w:t>:</w:t>
      </w:r>
    </w:p>
    <w:p w14:paraId="2B1240DA" w14:textId="77777777" w:rsidR="004F4AD8" w:rsidRDefault="00D702B8" w:rsidP="002D4981">
      <w:pPr>
        <w:pStyle w:val="Listenabsatz"/>
        <w:numPr>
          <w:ilvl w:val="0"/>
          <w:numId w:val="36"/>
        </w:numPr>
      </w:pPr>
      <w:r>
        <w:t xml:space="preserve">die Einwilligung durch Ankreuzen eines Formularkästchens </w:t>
      </w:r>
      <w:r w:rsidR="004F4AD8">
        <w:t xml:space="preserve">per </w:t>
      </w:r>
      <w:r>
        <w:t>Mausklick</w:t>
      </w:r>
    </w:p>
    <w:p w14:paraId="764EB84B" w14:textId="77777777" w:rsidR="004F4AD8" w:rsidRDefault="00D702B8" w:rsidP="002D4981">
      <w:pPr>
        <w:pStyle w:val="Listenabsatz"/>
        <w:numPr>
          <w:ilvl w:val="0"/>
          <w:numId w:val="36"/>
        </w:numPr>
      </w:pPr>
      <w:r>
        <w:t xml:space="preserve">die Einwilligung per Email, </w:t>
      </w:r>
    </w:p>
    <w:p w14:paraId="450111ED" w14:textId="77777777" w:rsidR="004F4AD8" w:rsidRDefault="00D702B8" w:rsidP="002D4981">
      <w:pPr>
        <w:pStyle w:val="Listenabsatz"/>
        <w:numPr>
          <w:ilvl w:val="0"/>
          <w:numId w:val="36"/>
        </w:numPr>
      </w:pPr>
      <w:r>
        <w:t>die mündliche Einwilligung,</w:t>
      </w:r>
    </w:p>
    <w:p w14:paraId="7EBAC550" w14:textId="77777777" w:rsidR="00D702B8" w:rsidRDefault="00D702B8" w:rsidP="002D4981">
      <w:pPr>
        <w:pStyle w:val="Listenabsatz"/>
        <w:numPr>
          <w:ilvl w:val="0"/>
          <w:numId w:val="36"/>
        </w:numPr>
      </w:pPr>
      <w:r>
        <w:t>sowie nach Erwägungsgrund 32 auch</w:t>
      </w:r>
      <w:r w:rsidR="00733928">
        <w:t xml:space="preserve"> die</w:t>
      </w:r>
      <w:r>
        <w:t xml:space="preserve"> Einwilligung per Voreinstellungen im Browser, z.B. die Voreinstellung einer bestimmten Cookie-</w:t>
      </w:r>
      <w:proofErr w:type="spellStart"/>
      <w:r>
        <w:t>Policy</w:t>
      </w:r>
      <w:proofErr w:type="spellEnd"/>
      <w:r>
        <w:t xml:space="preserve">. </w:t>
      </w:r>
    </w:p>
    <w:p w14:paraId="70329457" w14:textId="02391701" w:rsidR="00D702B8" w:rsidRDefault="00102923" w:rsidP="00D702B8">
      <w:r>
        <w:t>Auch der Vorschlag für eine Verordnung über Privatsphäre und elektronische Kommunikation (EU-Privacy-VO) sieht Einwilligungen in Form von Softwareeinstellungen ausdrücklich vor (</w:t>
      </w:r>
      <w:r w:rsidR="00EA7F23">
        <w:t xml:space="preserve">vgl. den gegenwärtigen Entwurf des </w:t>
      </w:r>
      <w:r>
        <w:t>Art. 9 Abs. 2 EU-Privacy-VO</w:t>
      </w:r>
      <w:r w:rsidR="00EA7F23">
        <w:t>;</w:t>
      </w:r>
      <w:r w:rsidR="00BF4462">
        <w:t xml:space="preserve"> die </w:t>
      </w:r>
      <w:proofErr w:type="spellStart"/>
      <w:r w:rsidR="00BF4462">
        <w:t>Trilog</w:t>
      </w:r>
      <w:proofErr w:type="spellEnd"/>
      <w:r w:rsidR="00BF4462">
        <w:t xml:space="preserve">-Verhandlungen zwischen </w:t>
      </w:r>
      <w:r w:rsidR="00BF4462" w:rsidRPr="00BF4462">
        <w:t>Europäische</w:t>
      </w:r>
      <w:r w:rsidR="00BF4462">
        <w:t>r</w:t>
      </w:r>
      <w:r w:rsidR="00BF4462" w:rsidRPr="00BF4462">
        <w:t xml:space="preserve"> Kommission, dem Rat der Europäischen Union und dem Europäischen Parlament</w:t>
      </w:r>
      <w:r w:rsidR="00BF4462">
        <w:t xml:space="preserve"> stehen noch aus, sodass sich der Entwurf und insb. die Artikelzählung noch ändern kann</w:t>
      </w:r>
      <w:r w:rsidR="002E3AD7">
        <w:t>)</w:t>
      </w:r>
      <w:r>
        <w:t>.</w:t>
      </w:r>
      <w:r w:rsidR="00EA7F23">
        <w:t xml:space="preserve"> </w:t>
      </w:r>
      <w:r w:rsidR="00D702B8">
        <w:t>Im Hinblick auf die weitgehend formfreie und insbesondere auch mündlich mögliche Einwilligung ist aber auf Art. 7 Abs. 1 DSGVO hinzuweisen: Im Zweifel muss die Verantwortliche Stelle das Vorliegen einer Einwilligung beweisen können. Die elektronische oder schriftliche Form sollte aus Dokumentationsgesichtspunkten also den Regelfall darstellen.</w:t>
      </w:r>
    </w:p>
    <w:p w14:paraId="65662DAC" w14:textId="06295833" w:rsidR="00621B0E" w:rsidRDefault="00621B0E" w:rsidP="00D702B8">
      <w:r>
        <w:t>Daneben ist sicherzustellen, dass die Einwilligung freiwillig, d</w:t>
      </w:r>
      <w:r w:rsidR="00E904F3">
        <w:t>.</w:t>
      </w:r>
      <w:r>
        <w:t>h</w:t>
      </w:r>
      <w:r w:rsidR="00E904F3">
        <w:t>.</w:t>
      </w:r>
      <w:r>
        <w:t xml:space="preserve"> ohne Zwang, erfolgt. Dies adressiert die DSGVO insbesondere im Hinblick auf ein klares Ungleichgewicht der Vertragsparteien (</w:t>
      </w:r>
      <w:proofErr w:type="spellStart"/>
      <w:r>
        <w:t>Erw</w:t>
      </w:r>
      <w:r w:rsidR="00E904F3">
        <w:t>G</w:t>
      </w:r>
      <w:r>
        <w:t>r</w:t>
      </w:r>
      <w:proofErr w:type="spellEnd"/>
      <w:r>
        <w:t xml:space="preserve">. 43 zur DSGVO) und bezüglich einer unnötigen Koppelung von Leistung und Einwilligung (Art. 7 Abs. 4 DSGVO). In der Zusammenschau dieser beiden Regelungen ist sicher davon auszugehen, dass unter Geltung der DSGVO nicht jede Koppelung von Leistung an </w:t>
      </w:r>
      <w:r w:rsidR="00FC0BCF">
        <w:t xml:space="preserve">eine </w:t>
      </w:r>
      <w:r>
        <w:t>nicht zwingend zur Erfüllung erforderliche Einwilligung gemeint sein kann.</w:t>
      </w:r>
      <w:r w:rsidR="00DC715F">
        <w:t xml:space="preserve"> In der englischen Fassung heißt es: „</w:t>
      </w:r>
      <w:r w:rsidR="00DC715F" w:rsidRPr="00EA7F23">
        <w:rPr>
          <w:lang w:val="en-US"/>
        </w:rPr>
        <w:t>Consent is presumed not to be freely given…</w:t>
      </w:r>
      <w:r w:rsidR="00DC715F">
        <w:t xml:space="preserve">“, was </w:t>
      </w:r>
      <w:r w:rsidR="00DC715F">
        <w:lastRenderedPageBreak/>
        <w:t>eher mit „Die Einwilligung ist mutmaßlich nicht freiwillig erteilt…“ zu übersetzen</w:t>
      </w:r>
      <w:r w:rsidR="00BF3791">
        <w:t xml:space="preserve"> gewesen wäre</w:t>
      </w:r>
      <w:r w:rsidR="00DC715F">
        <w:t>. Eine enge Auslegung des Koppelungsverbots</w:t>
      </w:r>
      <w:r>
        <w:t xml:space="preserve"> wäre </w:t>
      </w:r>
      <w:r w:rsidR="00002A22">
        <w:t>mit Blick</w:t>
      </w:r>
      <w:r>
        <w:t xml:space="preserve"> auf die praktische Kommerzialisierung der Einwilligung im „Tausch“ gegen eine Dienstleistung kaum sachgerecht umsetzbar.</w:t>
      </w:r>
      <w:r w:rsidR="007E513F">
        <w:t xml:space="preserve"> Auch die deutschen Aufsichtsbehörden legen das Koppelungsverbot daher </w:t>
      </w:r>
      <w:r w:rsidR="00EE2465">
        <w:t>eng</w:t>
      </w:r>
      <w:r w:rsidR="007E513F">
        <w:t xml:space="preserve"> aus, weil sie keine</w:t>
      </w:r>
      <w:r w:rsidR="00BF3791">
        <w:t xml:space="preserve"> </w:t>
      </w:r>
      <w:r w:rsidR="007E513F">
        <w:t>Bedenken gegen die werbliche Nutzung der Daten durch den Verarbeiter haben, wenn z.B. hierfür eine E-Mail-Dienst</w:t>
      </w:r>
      <w:r w:rsidR="00BF3791">
        <w:t xml:space="preserve"> unentgeltlich</w:t>
      </w:r>
      <w:r w:rsidR="007E513F">
        <w:t xml:space="preserve"> angeboten wird.</w:t>
      </w:r>
      <w:r>
        <w:t xml:space="preserve"> Direkte Auswirkungen dieser Regelung dürften sich daher aller Voraussicht nach besonders auf Monopol-Anbieter in bestimmten Märkten beschränken. </w:t>
      </w:r>
    </w:p>
    <w:p w14:paraId="038842CB" w14:textId="6ACF9079" w:rsidR="00621B0E" w:rsidRPr="009C114B" w:rsidRDefault="00316AA1" w:rsidP="00621B0E">
      <w:pPr>
        <w:pStyle w:val="berschrift7"/>
      </w:pPr>
      <w:bookmarkStart w:id="330" w:name="_Toc471812247"/>
      <w:bookmarkStart w:id="331" w:name="_Toc471818814"/>
      <w:bookmarkStart w:id="332" w:name="_Toc471826494"/>
      <w:bookmarkStart w:id="333" w:name="_Toc471828096"/>
      <w:bookmarkStart w:id="334" w:name="_Toc471829453"/>
      <w:bookmarkStart w:id="335" w:name="_Toc512241325"/>
      <w:r w:rsidRPr="009C114B">
        <w:t>Informiertheit als inhaltliche Anforderung</w:t>
      </w:r>
      <w:bookmarkEnd w:id="330"/>
      <w:bookmarkEnd w:id="331"/>
      <w:bookmarkEnd w:id="332"/>
      <w:bookmarkEnd w:id="333"/>
      <w:bookmarkEnd w:id="334"/>
      <w:bookmarkEnd w:id="335"/>
    </w:p>
    <w:p w14:paraId="14C0D6D9" w14:textId="002D0F6A" w:rsidR="004C2AB7" w:rsidRPr="009C114B" w:rsidRDefault="004C2AB7" w:rsidP="004C2AB7">
      <w:r w:rsidRPr="009C114B">
        <w:t xml:space="preserve">Damit ein Betroffener eine Einwilligung </w:t>
      </w:r>
      <w:r w:rsidR="009E672E" w:rsidRPr="009C114B">
        <w:t xml:space="preserve">bewusst </w:t>
      </w:r>
      <w:r w:rsidR="00DA522D" w:rsidRPr="009C114B">
        <w:t xml:space="preserve">abgeben kann, muss er sich über die Datenverarbeitung, in die er einwilligt, im Klaren sein. </w:t>
      </w:r>
      <w:r w:rsidR="00411BCC">
        <w:t xml:space="preserve">Dies stellt eine weitere Ausprägung des Transparenzgrundsatzes dar. </w:t>
      </w:r>
      <w:r w:rsidR="00E91864" w:rsidRPr="009C114B">
        <w:t xml:space="preserve">Das Datenschutzrecht fordert nicht nur </w:t>
      </w:r>
      <w:r w:rsidR="00304132" w:rsidRPr="009C114B">
        <w:t>äußerlich einen entsprechenden rechtlichen Text oder eine vorhandene technische Beschreibung, sondern ein tatsächliches Verständnis beim Betroffenen.</w:t>
      </w:r>
      <w:r w:rsidR="009C114B">
        <w:t xml:space="preserve"> Juristen sprechen insoweit von der „Maßgeblichkeit des individuellen Empfängerhorizonts“</w:t>
      </w:r>
      <w:r w:rsidR="00411BCC">
        <w:t xml:space="preserve"> oder teils von einem nutzerzentrierten Verständnis</w:t>
      </w:r>
      <w:r w:rsidR="009C114B">
        <w:t xml:space="preserve">. Es kommt also darauf an, dass der konkret einwilligende Betroffene informiert ist, nicht allein aber, dass die </w:t>
      </w:r>
      <w:r w:rsidR="00D8273D">
        <w:t>Einwilligungserklärung als solche informativ ist.</w:t>
      </w:r>
      <w:r w:rsidR="00C55EF9">
        <w:t xml:space="preserve"> Dabei ist gerade nicht nur der Inhalt, sondern eben auch die Qualität, der einfache Zugang, die Verständlichkeit der Informationen zu berücksichtigen.</w:t>
      </w:r>
    </w:p>
    <w:p w14:paraId="59323B3F" w14:textId="4911601A" w:rsidR="004E1ED7" w:rsidRDefault="00BB1334" w:rsidP="004E1ED7">
      <w:pPr>
        <w:pStyle w:val="berschrift7"/>
      </w:pPr>
      <w:bookmarkStart w:id="336" w:name="_Toc471812248"/>
      <w:bookmarkStart w:id="337" w:name="_Toc471818815"/>
      <w:bookmarkStart w:id="338" w:name="_Toc471826495"/>
      <w:bookmarkStart w:id="339" w:name="_Toc471828097"/>
      <w:bookmarkStart w:id="340" w:name="_Toc471829454"/>
      <w:bookmarkStart w:id="341" w:name="_Toc512241326"/>
      <w:r>
        <w:t>Besonderheiten bei der Einwilligung von Kindern</w:t>
      </w:r>
      <w:bookmarkEnd w:id="336"/>
      <w:bookmarkEnd w:id="337"/>
      <w:bookmarkEnd w:id="338"/>
      <w:bookmarkEnd w:id="339"/>
      <w:bookmarkEnd w:id="340"/>
      <w:bookmarkEnd w:id="341"/>
    </w:p>
    <w:p w14:paraId="32E6532B" w14:textId="72C92DD0" w:rsidR="004E1ED7" w:rsidRPr="004E1ED7" w:rsidRDefault="004E1ED7" w:rsidP="004E1ED7">
      <w:pPr>
        <w:pStyle w:val="Schrifttum"/>
      </w:pPr>
      <w:r w:rsidRPr="004E1ED7">
        <w:rPr>
          <w:i/>
        </w:rPr>
        <w:t>UNICEF</w:t>
      </w:r>
      <w:r>
        <w:t xml:space="preserve">, </w:t>
      </w:r>
      <w:r w:rsidRPr="00EA7F23">
        <w:rPr>
          <w:lang w:val="en-US"/>
        </w:rPr>
        <w:t>UN Convention on the Rights of the Child in Child Friendly Language</w:t>
      </w:r>
      <w:r>
        <w:t xml:space="preserve">, </w:t>
      </w:r>
      <w:r w:rsidRPr="004E1ED7">
        <w:t>http://t1p.de/7072</w:t>
      </w:r>
      <w:r>
        <w:t xml:space="preserve"> [UNICEF, kostenfrei]</w:t>
      </w:r>
    </w:p>
    <w:p w14:paraId="5A1AE10D" w14:textId="7D299FC0" w:rsidR="00BB1334" w:rsidRDefault="00BB1334" w:rsidP="00202ADC">
      <w:r>
        <w:t>Die DSGVO stellt erstmal</w:t>
      </w:r>
      <w:r w:rsidR="00803D70">
        <w:t>s</w:t>
      </w:r>
      <w:r>
        <w:t xml:space="preserve"> spezifische Anforderungen an die Einwilligung von Kindern</w:t>
      </w:r>
      <w:r w:rsidR="006C0B83">
        <w:t>, wenn auch nur im Kontext von Onlinediensten</w:t>
      </w:r>
      <w:r>
        <w:t xml:space="preserve">. Diese werden damit im Datenschutzkontext als besonders gefährdete Zielgruppe herausgehoben. </w:t>
      </w:r>
    </w:p>
    <w:p w14:paraId="23D986C3" w14:textId="3B396DFF" w:rsidR="00BB1334" w:rsidRDefault="00BB1334" w:rsidP="00202ADC">
      <w:r>
        <w:t xml:space="preserve">Dabei gelten die Besonderheiten laut Art. 8 Abs. 1 DSGVO nur, wenn ein Angebot von Diensten der Informationsgesellschaft einem Kind direkt gemacht wird. Dies ist als Beschränkung auf solche Dienste zu verstehen, deren Zielgruppe explizit Kinder sind. Nicht jede Seite, die </w:t>
      </w:r>
      <w:r w:rsidR="002C453A">
        <w:t xml:space="preserve">möglicherweise </w:t>
      </w:r>
      <w:r w:rsidR="002340E9">
        <w:t>und unter anderem</w:t>
      </w:r>
      <w:r>
        <w:t xml:space="preserve"> von Kindern genutzt wird, muss also den Vorgaben genügen.</w:t>
      </w:r>
    </w:p>
    <w:p w14:paraId="55595A2E" w14:textId="24951194" w:rsidR="00BB1334" w:rsidRDefault="00BB1334" w:rsidP="00202ADC">
      <w:r>
        <w:t xml:space="preserve">Wer „Kind“ ist, wird von der DSGVO nicht </w:t>
      </w:r>
      <w:r w:rsidR="00E0008E">
        <w:t xml:space="preserve">abschließend </w:t>
      </w:r>
      <w:r>
        <w:t xml:space="preserve">definiert. Personen, die das sechzehnte Lebensjahr vollendet haben, gelten in jedem Fall als einwilligungsfähig. Ob in einigen Ländern von der Möglichkeit Gebrauch gemacht wird, diese Grenze bis zur Vollendung des dreizehnten Lebensjahres abzusenken, bleibt abzuwarten. </w:t>
      </w:r>
      <w:r w:rsidR="00D112A5">
        <w:t xml:space="preserve">Im deutschen Recht wurde hiervon nicht Gebrauch gemacht. Die Umsetzungen vieler anderer EU-Staaten lassen auf sich warten. </w:t>
      </w:r>
      <w:r>
        <w:t xml:space="preserve">Hier könnten wiederum komplizierte Folgeprobleme bezüglich der </w:t>
      </w:r>
      <w:r w:rsidR="005414EF">
        <w:t xml:space="preserve">Bestimmung des anwendbaren mitgliedstaatlichen </w:t>
      </w:r>
      <w:r>
        <w:t>Recht</w:t>
      </w:r>
      <w:r w:rsidR="00FC0BCF">
        <w:t>s</w:t>
      </w:r>
      <w:r>
        <w:t xml:space="preserve"> entstehen, die dem eigentlichen </w:t>
      </w:r>
      <w:r w:rsidR="005414EF">
        <w:t>Harmonisierungs</w:t>
      </w:r>
      <w:r w:rsidR="00614342">
        <w:t>z</w:t>
      </w:r>
      <w:r>
        <w:t>iel der DSGVO widersprechen.</w:t>
      </w:r>
    </w:p>
    <w:p w14:paraId="6DACBE04" w14:textId="1017079B" w:rsidR="00BB1334" w:rsidRDefault="00BB1334" w:rsidP="00202ADC">
      <w:r>
        <w:t>Ist der Betroffene nach diesen Regelungen nicht selb</w:t>
      </w:r>
      <w:r w:rsidR="009E099B">
        <w:t>st</w:t>
      </w:r>
      <w:r>
        <w:t xml:space="preserve"> zur Einwilligung fähig, so muss sich die Verantwortliche Stelle nach Art. 8 Abs. 2 DSGVO vergewissern, dass die Einwilligung durch die Eltern oder mit deren Zustimmung erteilt wurde. </w:t>
      </w:r>
      <w:r w:rsidR="002945B2">
        <w:t>Hier</w:t>
      </w:r>
      <w:r>
        <w:t xml:space="preserve"> sind angemessene Anstrengungen im Rahmen des technisch Möglichen </w:t>
      </w:r>
      <w:r w:rsidR="002945B2">
        <w:t>zu unternehmen</w:t>
      </w:r>
      <w:r>
        <w:t xml:space="preserve">. </w:t>
      </w:r>
    </w:p>
    <w:p w14:paraId="5801D4FE" w14:textId="0D398527" w:rsidR="00DE4E66" w:rsidRDefault="00DE4E66" w:rsidP="00202ADC">
      <w:r>
        <w:t>Hinzuweisen ist hier noch auf eine in Erwägungsgrund 38 angesprochene spezielle Bereichsausnahme: Präventions- und Beratungsdienste sollen Kindern weiterhin</w:t>
      </w:r>
      <w:r w:rsidR="00DC1D59">
        <w:t xml:space="preserve"> </w:t>
      </w:r>
      <w:r>
        <w:t xml:space="preserve">ohne </w:t>
      </w:r>
      <w:r w:rsidR="00C60209">
        <w:t xml:space="preserve">die Mitwirkung und damit </w:t>
      </w:r>
      <w:r>
        <w:t>das Wissen der Eltern zu</w:t>
      </w:r>
      <w:r w:rsidR="002340E9">
        <w:t>r</w:t>
      </w:r>
      <w:r>
        <w:t xml:space="preserve"> Verfügung gestellt werden können.</w:t>
      </w:r>
    </w:p>
    <w:p w14:paraId="70D9AD5A" w14:textId="3961A96C" w:rsidR="00DE4E66" w:rsidRPr="00BB1334" w:rsidRDefault="00DE4E66" w:rsidP="00202ADC">
      <w:r>
        <w:t>Richtet sich ein Angebot nur oder hau</w:t>
      </w:r>
      <w:r w:rsidR="00FC0BCF">
        <w:t>p</w:t>
      </w:r>
      <w:r>
        <w:t xml:space="preserve">tsächlich an Kinder, so ergibt sich auch schon aus den sonstigen allgemeinen Kommunikationsvorschriften der DSGVO, dass die Sprache der </w:t>
      </w:r>
      <w:r>
        <w:lastRenderedPageBreak/>
        <w:t xml:space="preserve">rechtlich verlangten Mitteilungen konsumentengerecht, sprich </w:t>
      </w:r>
      <w:r w:rsidR="00C60209">
        <w:t xml:space="preserve">also </w:t>
      </w:r>
      <w:r>
        <w:t>hier kindgerecht sein muss.</w:t>
      </w:r>
      <w:r w:rsidR="004E1ED7">
        <w:t xml:space="preserve"> Orientierung kann d</w:t>
      </w:r>
      <w:r w:rsidR="00D678E1">
        <w:t>ie</w:t>
      </w:r>
      <w:r w:rsidR="004E1ED7">
        <w:t xml:space="preserve"> oben angeführte </w:t>
      </w:r>
      <w:r w:rsidR="00D678E1">
        <w:t xml:space="preserve">Handreichung </w:t>
      </w:r>
      <w:r w:rsidR="004E1ED7">
        <w:t xml:space="preserve">der UNICEF </w:t>
      </w:r>
      <w:r w:rsidR="00C369FA">
        <w:t xml:space="preserve">in </w:t>
      </w:r>
      <w:r w:rsidR="004E1ED7">
        <w:t>kindgerechte</w:t>
      </w:r>
      <w:r w:rsidR="00C369FA">
        <w:t>r</w:t>
      </w:r>
      <w:r w:rsidR="004E1ED7">
        <w:t xml:space="preserve"> Sprache bieten.</w:t>
      </w:r>
    </w:p>
    <w:p w14:paraId="3D0B8F46" w14:textId="78098C73" w:rsidR="000B5516" w:rsidRDefault="3C8091D4" w:rsidP="00DC7166">
      <w:pPr>
        <w:pStyle w:val="berschrift6"/>
      </w:pPr>
      <w:bookmarkStart w:id="342" w:name="_Toc469776792"/>
      <w:bookmarkStart w:id="343" w:name="_Toc471812249"/>
      <w:bookmarkStart w:id="344" w:name="_Toc471818816"/>
      <w:bookmarkStart w:id="345" w:name="_Toc471826496"/>
      <w:bookmarkStart w:id="346" w:name="_Toc471828098"/>
      <w:bookmarkStart w:id="347" w:name="_Toc471829455"/>
      <w:bookmarkStart w:id="348" w:name="_Toc512241327"/>
      <w:r>
        <w:t>Unterrichtung bei der Erhebun</w:t>
      </w:r>
      <w:r w:rsidR="000B3076">
        <w:t>g</w:t>
      </w:r>
      <w:bookmarkEnd w:id="342"/>
      <w:bookmarkEnd w:id="343"/>
      <w:bookmarkEnd w:id="344"/>
      <w:bookmarkEnd w:id="345"/>
      <w:bookmarkEnd w:id="346"/>
      <w:bookmarkEnd w:id="347"/>
      <w:bookmarkEnd w:id="348"/>
    </w:p>
    <w:p w14:paraId="2DF804A0" w14:textId="0B043F62" w:rsidR="00EA6A79" w:rsidRDefault="00190361" w:rsidP="00202ADC">
      <w:r w:rsidRPr="00190361">
        <w:t>Das Recht kennt</w:t>
      </w:r>
      <w:r>
        <w:t xml:space="preserve"> bisher</w:t>
      </w:r>
      <w:r w:rsidRPr="00190361">
        <w:t xml:space="preserve"> an verschiedenen Stellen Unterrichtungspflichten</w:t>
      </w:r>
      <w:r w:rsidR="006C0B83">
        <w:t xml:space="preserve"> zum </w:t>
      </w:r>
      <w:r w:rsidR="00C45572">
        <w:t>Zeitpunkt</w:t>
      </w:r>
      <w:r w:rsidRPr="00190361">
        <w:t xml:space="preserve"> der Erhebung von </w:t>
      </w:r>
      <w:r w:rsidR="00854B14">
        <w:t xml:space="preserve">persönlichen </w:t>
      </w:r>
      <w:r w:rsidRPr="00190361">
        <w:t>Daten</w:t>
      </w:r>
      <w:r w:rsidR="00E7659B">
        <w:t xml:space="preserve"> </w:t>
      </w:r>
      <w:r w:rsidR="00263A43">
        <w:t>(</w:t>
      </w:r>
      <w:r w:rsidR="00E7659B" w:rsidRPr="00E7659B">
        <w:t xml:space="preserve">so auch </w:t>
      </w:r>
      <w:proofErr w:type="spellStart"/>
      <w:r w:rsidR="00E7659B" w:rsidRPr="00E7659B">
        <w:t>ErwGr</w:t>
      </w:r>
      <w:proofErr w:type="spellEnd"/>
      <w:r w:rsidR="00E7659B" w:rsidRPr="00E7659B">
        <w:t>. 61 DSGVO</w:t>
      </w:r>
      <w:r w:rsidR="00E7659B">
        <w:t>)</w:t>
      </w:r>
      <w:r>
        <w:t xml:space="preserve">. </w:t>
      </w:r>
      <w:r w:rsidR="006B30CC" w:rsidRPr="006B30CC">
        <w:t xml:space="preserve">Die Grundsätze einer fairen und transparenten Verarbeitung machen es erforderlich, dass </w:t>
      </w:r>
      <w:r w:rsidR="00263A43">
        <w:t xml:space="preserve">der Betroffene </w:t>
      </w:r>
      <w:r w:rsidR="006B30CC" w:rsidRPr="006B30CC">
        <w:t>über die Existenz des Verarbeitungsvorgangs und seine Zwecke unterrichtet wird</w:t>
      </w:r>
      <w:r w:rsidR="00E7659B">
        <w:t xml:space="preserve"> (</w:t>
      </w:r>
      <w:proofErr w:type="spellStart"/>
      <w:r w:rsidR="00E7659B" w:rsidRPr="00E7659B">
        <w:t>ErwGr</w:t>
      </w:r>
      <w:proofErr w:type="spellEnd"/>
      <w:r w:rsidR="00E7659B" w:rsidRPr="00E7659B">
        <w:t xml:space="preserve">. 60 </w:t>
      </w:r>
      <w:r w:rsidR="00687FEA">
        <w:t>D</w:t>
      </w:r>
      <w:r w:rsidR="00E7659B" w:rsidRPr="00E7659B">
        <w:t>SGVO</w:t>
      </w:r>
      <w:r w:rsidR="00E7659B">
        <w:t>).</w:t>
      </w:r>
      <w:r w:rsidR="006B30CC">
        <w:t xml:space="preserve"> </w:t>
      </w:r>
    </w:p>
    <w:p w14:paraId="1D0F521A" w14:textId="124B7010" w:rsidR="00527795" w:rsidRDefault="00527795" w:rsidP="007E74C8">
      <w:pPr>
        <w:pStyle w:val="berschrift7"/>
      </w:pPr>
      <w:bookmarkStart w:id="349" w:name="_Toc471812250"/>
      <w:bookmarkStart w:id="350" w:name="_Toc471818817"/>
      <w:bookmarkStart w:id="351" w:name="_Toc471826497"/>
      <w:bookmarkStart w:id="352" w:name="_Toc471828099"/>
      <w:bookmarkStart w:id="353" w:name="_Toc471829456"/>
      <w:bookmarkStart w:id="354" w:name="_Toc512241328"/>
      <w:r>
        <w:t>Verfahren und Form</w:t>
      </w:r>
      <w:bookmarkEnd w:id="349"/>
      <w:bookmarkEnd w:id="350"/>
      <w:bookmarkEnd w:id="351"/>
      <w:bookmarkEnd w:id="352"/>
      <w:bookmarkEnd w:id="353"/>
      <w:bookmarkEnd w:id="354"/>
    </w:p>
    <w:p w14:paraId="60A8F625" w14:textId="7C6A76F6" w:rsidR="00FF5FD3" w:rsidRDefault="00C5753D" w:rsidP="004A137D">
      <w:bookmarkStart w:id="355" w:name="_Toc469776793"/>
      <w:r>
        <w:t>Mit</w:t>
      </w:r>
      <w:r w:rsidR="004A137D" w:rsidRPr="000938E3">
        <w:t xml:space="preserve"> Art.</w:t>
      </w:r>
      <w:r w:rsidR="004A137D">
        <w:t> </w:t>
      </w:r>
      <w:r w:rsidR="004A137D" w:rsidRPr="000938E3">
        <w:t>13</w:t>
      </w:r>
      <w:r w:rsidR="004A137D">
        <w:t xml:space="preserve"> DSGVO </w:t>
      </w:r>
      <w:r>
        <w:t xml:space="preserve">wird ein umfangreicher Katalog von Informationen zur rechtlichen Pflicht. </w:t>
      </w:r>
      <w:r w:rsidR="004A137D" w:rsidRPr="000938E3">
        <w:t>Auch die Beschreibung der Vorgänge in einer einfachen</w:t>
      </w:r>
      <w:r w:rsidR="00EC5E82">
        <w:t xml:space="preserve"> und</w:t>
      </w:r>
      <w:r w:rsidR="004A137D" w:rsidRPr="000938E3">
        <w:t xml:space="preserve"> deskriptiven Sprache könnte zu wesentlich längeren Texten führen. </w:t>
      </w:r>
      <w:r>
        <w:t xml:space="preserve">Ob diese Menge an Informationen in der Praxis tatsächlich zu einer besseren und informierten Entscheidung des Betroffenen führt, darf im Hinblick auf das Phänomen des „Information Overkill“ </w:t>
      </w:r>
      <w:r w:rsidR="00D76056">
        <w:t>bezweifelt werden</w:t>
      </w:r>
      <w:r>
        <w:t xml:space="preserve">. </w:t>
      </w:r>
      <w:r w:rsidR="00C60209">
        <w:t>Es</w:t>
      </w:r>
      <w:r w:rsidR="004A137D">
        <w:t xml:space="preserve"> </w:t>
      </w:r>
      <w:r>
        <w:t xml:space="preserve">führt </w:t>
      </w:r>
      <w:r w:rsidR="004A137D">
        <w:t xml:space="preserve">an einer Einhaltung der gesetzlichen </w:t>
      </w:r>
      <w:r>
        <w:t>Pflichten</w:t>
      </w:r>
      <w:r w:rsidR="004A137D">
        <w:t xml:space="preserve"> </w:t>
      </w:r>
      <w:r w:rsidR="00D76056">
        <w:t xml:space="preserve">dennoch </w:t>
      </w:r>
      <w:r w:rsidR="004A137D">
        <w:t xml:space="preserve">kein Weg vorbei. </w:t>
      </w:r>
      <w:r w:rsidR="00FF5FD3">
        <w:t>Es muss ein Mittelweg zwischen der effizienten und verständlichen Informierung einerseits und der Erfüllung der inhaltlichen Mindestanforderungen auf der anderen Seite gefunden werden.</w:t>
      </w:r>
    </w:p>
    <w:p w14:paraId="11EDA963" w14:textId="271BD90B" w:rsidR="004A137D" w:rsidRDefault="004A137D" w:rsidP="004A137D">
      <w:r w:rsidRPr="000938E3">
        <w:t xml:space="preserve">Ergänzend sieht die DSGVO in Art. 12 Abs. 7 </w:t>
      </w:r>
      <w:r>
        <w:t>noch</w:t>
      </w:r>
      <w:r w:rsidRPr="000938E3">
        <w:t xml:space="preserve"> die Verwendung von Piktogrammen vor, die </w:t>
      </w:r>
      <w:r>
        <w:t xml:space="preserve">wiederum </w:t>
      </w:r>
      <w:r w:rsidRPr="000938E3">
        <w:t>zu einer erhöhten Übersichtlichkeit beitrage</w:t>
      </w:r>
      <w:r>
        <w:t>n sollen</w:t>
      </w:r>
      <w:r w:rsidRPr="000938E3">
        <w:t>. Im Idealfall seien diese dazu noch leicht wahrnehmbar, verständ</w:t>
      </w:r>
      <w:r>
        <w:t xml:space="preserve">lich und klar nachvollziehbar. </w:t>
      </w:r>
      <w:r w:rsidRPr="000938E3">
        <w:t>Eine Erste</w:t>
      </w:r>
      <w:r w:rsidR="007A2F9A">
        <w:t>llung solcher Symbole soll dem E</w:t>
      </w:r>
      <w:r w:rsidRPr="000938E3">
        <w:t xml:space="preserve">uropäischen Datenschutzausschuss übertragen werden. </w:t>
      </w:r>
    </w:p>
    <w:p w14:paraId="2A9F5AF5" w14:textId="444711C3" w:rsidR="00527795" w:rsidRPr="002C233A" w:rsidRDefault="00527795" w:rsidP="007E74C8">
      <w:pPr>
        <w:pStyle w:val="berschrift7"/>
      </w:pPr>
      <w:bookmarkStart w:id="356" w:name="_Toc471812253"/>
      <w:bookmarkStart w:id="357" w:name="_Toc471818818"/>
      <w:bookmarkStart w:id="358" w:name="_Toc471826498"/>
      <w:bookmarkStart w:id="359" w:name="_Toc471828100"/>
      <w:bookmarkStart w:id="360" w:name="_Toc471829457"/>
      <w:bookmarkStart w:id="361" w:name="_Toc512241329"/>
      <w:r w:rsidRPr="002C233A">
        <w:t>Inhaltliche Anforderungen</w:t>
      </w:r>
      <w:bookmarkEnd w:id="356"/>
      <w:bookmarkEnd w:id="357"/>
      <w:bookmarkEnd w:id="358"/>
      <w:bookmarkEnd w:id="359"/>
      <w:bookmarkEnd w:id="360"/>
      <w:bookmarkEnd w:id="361"/>
    </w:p>
    <w:p w14:paraId="01FD78D4" w14:textId="50C3B4DE" w:rsidR="002832DA" w:rsidRDefault="00C5753D" w:rsidP="006547CA">
      <w:r>
        <w:t xml:space="preserve">Die inhaltlichen Anforderungen für die Unterrichtung des Betroffenen bei Erhebung personenbezogener Daten enthält Art. 13 DSGVO. </w:t>
      </w:r>
      <w:r w:rsidR="002832DA">
        <w:t>Ähnlichkeiten lassen sich zu den bisherigen Regelungen in §§ 5, 13 TMG erkennen. Auch hier sind nicht die erfassten persönlichen Daten selb</w:t>
      </w:r>
      <w:r w:rsidR="00A45685">
        <w:t>st</w:t>
      </w:r>
      <w:r w:rsidR="002832DA">
        <w:t xml:space="preserve"> mitzuteilen. Ein Blick auf die entsprechende Norm, die in gedruckter Fassung beinahe 2 DIN A4-Seiten füllt, verschafft einen ersten Überblick:</w:t>
      </w:r>
    </w:p>
    <w:p w14:paraId="7410FF1B" w14:textId="7EFE87CE" w:rsidR="002832DA" w:rsidRDefault="002832DA" w:rsidP="007A2F9A">
      <w:pPr>
        <w:pStyle w:val="Listenabsatz"/>
        <w:numPr>
          <w:ilvl w:val="0"/>
          <w:numId w:val="25"/>
        </w:numPr>
      </w:pPr>
      <w:r>
        <w:t xml:space="preserve">So sind Namen und Kontaktdaten der Verantwortlichen zu nennen sowie ggf. </w:t>
      </w:r>
      <w:r w:rsidR="00B21991">
        <w:t>zusätzlich</w:t>
      </w:r>
      <w:r>
        <w:t xml:space="preserve"> solche des Datenschutzbeauftragten.</w:t>
      </w:r>
    </w:p>
    <w:p w14:paraId="4B17A173" w14:textId="77777777" w:rsidR="002832DA" w:rsidRDefault="002832DA" w:rsidP="007A2F9A">
      <w:pPr>
        <w:pStyle w:val="Listenabsatz"/>
        <w:numPr>
          <w:ilvl w:val="0"/>
          <w:numId w:val="25"/>
        </w:numPr>
      </w:pPr>
      <w:r>
        <w:t>Es folgen Informationen zum Zweck der Verarbeitung und der Rechtsgrundlage der Verarbeitung.</w:t>
      </w:r>
    </w:p>
    <w:p w14:paraId="6499A63F" w14:textId="228A9836" w:rsidR="002832DA" w:rsidRDefault="002832DA" w:rsidP="007A2F9A">
      <w:pPr>
        <w:pStyle w:val="Listenabsatz"/>
        <w:numPr>
          <w:ilvl w:val="0"/>
          <w:numId w:val="25"/>
        </w:numPr>
      </w:pPr>
      <w:r>
        <w:t>Werden die Daten</w:t>
      </w:r>
      <w:r w:rsidR="00BF3791">
        <w:t xml:space="preserve"> (auch zwischen den Nutzern einer App)</w:t>
      </w:r>
      <w:r>
        <w:t xml:space="preserve"> </w:t>
      </w:r>
      <w:r w:rsidR="00BF3791">
        <w:t>übermittelt</w:t>
      </w:r>
      <w:r>
        <w:t>, so müssen die Empfänger oder zumindest Kategorien solcher Empfänger angegeben werden. Weitere zusätzlich</w:t>
      </w:r>
      <w:r w:rsidR="002504C1">
        <w:t>e Angaben sind bei der Übermitt</w:t>
      </w:r>
      <w:r>
        <w:t>lung in Drittländer gefordert.</w:t>
      </w:r>
    </w:p>
    <w:p w14:paraId="758BA72F" w14:textId="00A6A6A8" w:rsidR="002832DA" w:rsidRDefault="002832DA" w:rsidP="007A2F9A">
      <w:pPr>
        <w:pStyle w:val="Listenabsatz"/>
        <w:numPr>
          <w:ilvl w:val="0"/>
          <w:numId w:val="25"/>
        </w:numPr>
      </w:pPr>
      <w:r>
        <w:t>Eine weitere Information zur Gewährleistung einer fairen und transparenten Verarbeitung, die eine solche Erklärung beinhalten muss</w:t>
      </w:r>
      <w:r w:rsidR="006D51A7">
        <w:t>,</w:t>
      </w:r>
      <w:r>
        <w:t xml:space="preserve"> sind die Dauer der Speicherung bzw. Kriterien zu deren Bestimmung.</w:t>
      </w:r>
    </w:p>
    <w:p w14:paraId="0999B049" w14:textId="0DE12747" w:rsidR="002832DA" w:rsidRDefault="002832DA" w:rsidP="007A2F9A">
      <w:pPr>
        <w:pStyle w:val="Listenabsatz"/>
        <w:numPr>
          <w:ilvl w:val="0"/>
          <w:numId w:val="25"/>
        </w:numPr>
      </w:pPr>
      <w:r>
        <w:t xml:space="preserve">Wichtig ist auch, dass eine solche Erklärung Informationen über die Rechte des Betroffenen enthält. Dies umfasst das Recht auf Auskunft, das Recht auf Berichtigung und Löschung sowie die Rechte auf Einschränkung der Verarbeitung, </w:t>
      </w:r>
      <w:r w:rsidR="006D51A7">
        <w:t>das Widerspruchsrecht</w:t>
      </w:r>
      <w:r>
        <w:t xml:space="preserve"> gegen </w:t>
      </w:r>
      <w:r w:rsidR="00FA6823">
        <w:t xml:space="preserve">bestimmte </w:t>
      </w:r>
      <w:r>
        <w:t>Verarbeitungen</w:t>
      </w:r>
      <w:r w:rsidR="00FB3B59">
        <w:t xml:space="preserve"> </w:t>
      </w:r>
      <w:r>
        <w:t>sowie auch das Recht auf Datenübertragbarkeit und das Beschwerderecht gegenüber der Aufsichtsbehörde.</w:t>
      </w:r>
    </w:p>
    <w:p w14:paraId="4711DE3D" w14:textId="0C62B924" w:rsidR="002832DA" w:rsidRDefault="002832DA" w:rsidP="007A2F9A">
      <w:pPr>
        <w:pStyle w:val="Listenabsatz"/>
        <w:numPr>
          <w:ilvl w:val="0"/>
          <w:numId w:val="25"/>
        </w:numPr>
      </w:pPr>
      <w:r>
        <w:t xml:space="preserve">Die Angaben zum Zweck </w:t>
      </w:r>
      <w:r w:rsidR="00935B4D">
        <w:t>sind</w:t>
      </w:r>
      <w:r>
        <w:t xml:space="preserve"> </w:t>
      </w:r>
      <w:r w:rsidR="00935B4D">
        <w:t>zu konkretisieren</w:t>
      </w:r>
      <w:r>
        <w:t xml:space="preserve">: So ist anzugeben, ob die Bereitstellung der personenbezogenen Daten gesetzlich oder vertraglich vorgeschrieben oder für einen Vertragsabschluss erforderlich ist. </w:t>
      </w:r>
    </w:p>
    <w:p w14:paraId="6C5619A4" w14:textId="77777777" w:rsidR="002832DA" w:rsidRDefault="00AA1888" w:rsidP="007A2F9A">
      <w:pPr>
        <w:pStyle w:val="Listenabsatz"/>
        <w:numPr>
          <w:ilvl w:val="0"/>
          <w:numId w:val="25"/>
        </w:numPr>
      </w:pPr>
      <w:r>
        <w:lastRenderedPageBreak/>
        <w:t>Die</w:t>
      </w:r>
      <w:r w:rsidR="002832DA">
        <w:t xml:space="preserve"> Konsequenzen der Nichtbereitstellung</w:t>
      </w:r>
      <w:r>
        <w:t xml:space="preserve"> der geforderten Daten</w:t>
      </w:r>
      <w:r w:rsidR="002832DA">
        <w:t xml:space="preserve"> </w:t>
      </w:r>
      <w:r>
        <w:t>sind zu beschreiben (bspw. Unmöglichkeit der Inanspruchnahme der Dienstleitung).</w:t>
      </w:r>
    </w:p>
    <w:p w14:paraId="13879CA9" w14:textId="19BA24BB" w:rsidR="002832DA" w:rsidRDefault="002832DA" w:rsidP="007A2F9A">
      <w:pPr>
        <w:pStyle w:val="Listenabsatz"/>
        <w:numPr>
          <w:ilvl w:val="0"/>
          <w:numId w:val="25"/>
        </w:numPr>
      </w:pPr>
      <w:r>
        <w:t xml:space="preserve">Sollte es zu einer automatisierten Entscheidungsfindung, insbesondere </w:t>
      </w:r>
      <w:r w:rsidR="00FA6B4A">
        <w:t>z</w:t>
      </w:r>
      <w:r>
        <w:t xml:space="preserve">um </w:t>
      </w:r>
      <w:proofErr w:type="spellStart"/>
      <w:r>
        <w:t>Profiling</w:t>
      </w:r>
      <w:proofErr w:type="spellEnd"/>
      <w:r>
        <w:t xml:space="preserve">, kommen, so verlangt die DSGVO „aussagekräftige“ Informationen zur dahinterstehenden Logik und zur Tragweite und Bedeutung der so getroffenen Entscheidung für den Betroffenen. Im Vergleich zu den bisherigen Regelungen in § </w:t>
      </w:r>
      <w:r w:rsidR="00B1284E">
        <w:t>3</w:t>
      </w:r>
      <w:r>
        <w:t>4 Abs. 2 u</w:t>
      </w:r>
      <w:r w:rsidR="001A6BFC">
        <w:t>.</w:t>
      </w:r>
      <w:r>
        <w:t xml:space="preserve"> Abs. 4 BDSG („Wahrscheinlichkeitswerte“) fällt die Formulierung deutlich unpräziser aus. Bisher wurde basierend darauf eine Offenlegungspflicht für die </w:t>
      </w:r>
      <w:proofErr w:type="spellStart"/>
      <w:r>
        <w:t>Scoringformel</w:t>
      </w:r>
      <w:proofErr w:type="spellEnd"/>
      <w:r>
        <w:t xml:space="preserve"> selbst verneint. </w:t>
      </w:r>
      <w:r w:rsidR="00C369FA">
        <w:t>Dies bleibt auch zukünftig der Fall.</w:t>
      </w:r>
    </w:p>
    <w:p w14:paraId="5491B258" w14:textId="3D08B252" w:rsidR="002832DA" w:rsidRDefault="002832DA" w:rsidP="007A2F9A">
      <w:pPr>
        <w:pStyle w:val="Listenabsatz"/>
        <w:numPr>
          <w:ilvl w:val="0"/>
          <w:numId w:val="25"/>
        </w:numPr>
      </w:pPr>
      <w:r>
        <w:t xml:space="preserve">Schlussendlich werden alle oben genannten Angaben </w:t>
      </w:r>
      <w:r w:rsidR="006732BB">
        <w:t>erneut für Konstellationen</w:t>
      </w:r>
      <w:r>
        <w:t xml:space="preserve"> verlangt, </w:t>
      </w:r>
      <w:r w:rsidR="006732BB">
        <w:t xml:space="preserve">für die sich die Verantwortliche Stelle </w:t>
      </w:r>
      <w:r>
        <w:t>die Verarbeitung zu einem weiteren Zweck vorbehalten möchte.</w:t>
      </w:r>
    </w:p>
    <w:p w14:paraId="77BD1266" w14:textId="204F0C83" w:rsidR="002832DA" w:rsidRDefault="002832DA" w:rsidP="00765FBC">
      <w:r>
        <w:t>Die Informationspflichten entfallen, wenn der Betroffene über die Informationen bereits verfügt.</w:t>
      </w:r>
      <w:r w:rsidR="008056C2">
        <w:t xml:space="preserve"> </w:t>
      </w:r>
    </w:p>
    <w:p w14:paraId="13683893" w14:textId="66C50C1E" w:rsidR="008056C2" w:rsidRPr="006547CA" w:rsidRDefault="008056C2" w:rsidP="00765FBC">
      <w:r>
        <w:t xml:space="preserve">Eine tabellarische Darstellung der notwendigen Informationen mit Erläuterungen enthält </w:t>
      </w:r>
      <w:r w:rsidR="000D49E6">
        <w:t>Artikel 29-</w:t>
      </w:r>
      <w:r w:rsidRPr="008056C2">
        <w:t xml:space="preserve">Gruppe, Working Paper WP260 Guidelines on </w:t>
      </w:r>
      <w:proofErr w:type="spellStart"/>
      <w:r w:rsidRPr="008056C2">
        <w:t>transparency</w:t>
      </w:r>
      <w:proofErr w:type="spellEnd"/>
      <w:r w:rsidRPr="008056C2">
        <w:t xml:space="preserve"> </w:t>
      </w:r>
      <w:proofErr w:type="spellStart"/>
      <w:r w:rsidRPr="008056C2">
        <w:t>under</w:t>
      </w:r>
      <w:proofErr w:type="spellEnd"/>
      <w:r w:rsidRPr="008056C2">
        <w:t xml:space="preserve"> Regulation 2016/679, </w:t>
      </w:r>
      <w:r>
        <w:t xml:space="preserve">S. 31 ff. </w:t>
      </w:r>
      <w:r w:rsidRPr="008056C2">
        <w:t>http://t1p.de/us0z [</w:t>
      </w:r>
      <w:r w:rsidR="000D49E6">
        <w:t>Artikel 29-</w:t>
      </w:r>
      <w:r w:rsidRPr="008056C2">
        <w:t>Gruppe, kostenfrei]</w:t>
      </w:r>
      <w:r>
        <w:t>.</w:t>
      </w:r>
    </w:p>
    <w:p w14:paraId="7CA52080" w14:textId="77777777" w:rsidR="007314D7" w:rsidRDefault="007314D7" w:rsidP="001A6BFC">
      <w:pPr>
        <w:pStyle w:val="berschrift7"/>
      </w:pPr>
      <w:bookmarkStart w:id="362" w:name="_Toc471812251"/>
      <w:bookmarkStart w:id="363" w:name="_Toc471818819"/>
      <w:bookmarkStart w:id="364" w:name="_Toc471826499"/>
      <w:bookmarkStart w:id="365" w:name="_Toc471828101"/>
      <w:bookmarkStart w:id="366" w:name="_Toc471829458"/>
      <w:bookmarkStart w:id="367" w:name="_Toc512241330"/>
      <w:bookmarkStart w:id="368" w:name="_Toc471812254"/>
      <w:r>
        <w:t>Sonderfall: Kennzeichnungen</w:t>
      </w:r>
      <w:bookmarkEnd w:id="362"/>
      <w:bookmarkEnd w:id="363"/>
      <w:bookmarkEnd w:id="364"/>
      <w:bookmarkEnd w:id="365"/>
      <w:bookmarkEnd w:id="366"/>
      <w:bookmarkEnd w:id="367"/>
    </w:p>
    <w:p w14:paraId="65DCCB8E" w14:textId="2AE853CA" w:rsidR="007314D7" w:rsidRPr="00CB3E80" w:rsidRDefault="007314D7" w:rsidP="007314D7">
      <w:r w:rsidRPr="00CB3E80">
        <w:t>Eine Regelung zur Kennzeichnung einer Datenverarbeitung besteht für die Videoüberwachung</w:t>
      </w:r>
      <w:r w:rsidR="00E449B8">
        <w:t xml:space="preserve"> von öffentlich zugänglichen Räumen</w:t>
      </w:r>
      <w:r w:rsidRPr="00CB3E80">
        <w:t xml:space="preserve"> (§ </w:t>
      </w:r>
      <w:r w:rsidR="00BF3791">
        <w:t>4</w:t>
      </w:r>
      <w:r w:rsidRPr="00CB3E80">
        <w:t xml:space="preserve"> Abs. 2 BDSG). </w:t>
      </w:r>
      <w:r w:rsidR="00C369FA">
        <w:t>Sie</w:t>
      </w:r>
      <w:r w:rsidR="0079704C" w:rsidRPr="0079704C">
        <w:t xml:space="preserve"> führt die bisherige Regelung zur Videoüberwachung weiter.</w:t>
      </w:r>
      <w:r w:rsidR="0079704C">
        <w:t xml:space="preserve"> </w:t>
      </w:r>
      <w:r w:rsidRPr="00CB3E80">
        <w:t xml:space="preserve">Da die DSGVO insgesamt keine technikspezifischen Vorgaben enthält, fehlt auch eine solche für die Videoüberwachung. Eine Kennzeichnung entspricht aber den Grundprinzipien der Transparenz und der Erkennbarkeit der Datenverarbeitung. </w:t>
      </w:r>
    </w:p>
    <w:p w14:paraId="6279E691" w14:textId="6130670A" w:rsidR="007314D7" w:rsidRDefault="007314D7" w:rsidP="007314D7">
      <w:r w:rsidRPr="00CB3E80">
        <w:t>Nötig sind geeignete Maßnahmen, um die Betroffenen auf die Überwachung aufmerksam zu machen. Gängig sind hierfür Hinweisschilder, die</w:t>
      </w:r>
      <w:r>
        <w:t xml:space="preserve"> neben dem Umstand der Beobachtung </w:t>
      </w:r>
      <w:r w:rsidR="00F120C7">
        <w:t>zusätzlich</w:t>
      </w:r>
      <w:r>
        <w:t xml:space="preserve"> Angaben zur Identität der </w:t>
      </w:r>
      <w:r w:rsidR="00BF3791">
        <w:t>Verantwortlichen Stelle</w:t>
      </w:r>
      <w:r>
        <w:t xml:space="preserve"> enthalten müssen, sofern dies durch die Gesamtumstände nicht ohnehin klar erkennbar ist. </w:t>
      </w:r>
    </w:p>
    <w:p w14:paraId="798F3CA9" w14:textId="07C7A7E6" w:rsidR="007314D7" w:rsidRDefault="007314D7" w:rsidP="007314D7">
      <w:r>
        <w:t>Sinnvoll kann die Kennzeichnung nur dann sein, wenn die Schilder so platziert werden, dass der Betroffene vor Betreten des Aufnahmebereiches</w:t>
      </w:r>
      <w:r w:rsidR="0079704C">
        <w:t xml:space="preserve"> </w:t>
      </w:r>
      <w:r w:rsidR="0079704C" w:rsidRPr="0079704C">
        <w:t>(</w:t>
      </w:r>
      <w:r w:rsidR="00F32F67">
        <w:t>„</w:t>
      </w:r>
      <w:r w:rsidR="0079704C" w:rsidRPr="0079704C">
        <w:t>früh</w:t>
      </w:r>
      <w:r w:rsidR="0079704C">
        <w:t>e</w:t>
      </w:r>
      <w:r w:rsidR="0079704C" w:rsidRPr="0079704C">
        <w:t>stmöglich</w:t>
      </w:r>
      <w:r w:rsidR="0079704C">
        <w:t>er Zeitpunkt</w:t>
      </w:r>
      <w:r w:rsidR="00F32F67">
        <w:t>“</w:t>
      </w:r>
      <w:r w:rsidR="0079704C" w:rsidRPr="0079704C">
        <w:t>, § 4 Abs. 2 BDSG)</w:t>
      </w:r>
      <w:r>
        <w:t xml:space="preserve"> auf die Beobachtung hingewiesen wird. </w:t>
      </w:r>
    </w:p>
    <w:p w14:paraId="0717267E" w14:textId="77777777" w:rsidR="007314D7" w:rsidRDefault="007314D7" w:rsidP="007314D7">
      <w:r>
        <w:t>Die Kennzeichnung stellt schon jetzt einen der Bereiche dar, in denen sich Piktogramme durchgesetzt haben. Die Verwendung eines Videokamerasymbols ist hier gängig und erfüllt die Kennzeichnungspflicht.</w:t>
      </w:r>
    </w:p>
    <w:p w14:paraId="31012B52" w14:textId="6A6E8A81" w:rsidR="000B5516" w:rsidRDefault="3C8091D4" w:rsidP="00164DD4">
      <w:pPr>
        <w:pStyle w:val="berschrift6"/>
      </w:pPr>
      <w:bookmarkStart w:id="369" w:name="_Toc471818820"/>
      <w:bookmarkStart w:id="370" w:name="_Toc471826500"/>
      <w:bookmarkStart w:id="371" w:name="_Toc471828102"/>
      <w:bookmarkStart w:id="372" w:name="_Toc471829459"/>
      <w:bookmarkStart w:id="373" w:name="_Toc512241331"/>
      <w:r>
        <w:t>Benachrichtigung</w:t>
      </w:r>
      <w:bookmarkEnd w:id="355"/>
      <w:bookmarkEnd w:id="368"/>
      <w:bookmarkEnd w:id="369"/>
      <w:bookmarkEnd w:id="370"/>
      <w:bookmarkEnd w:id="371"/>
      <w:bookmarkEnd w:id="372"/>
      <w:bookmarkEnd w:id="373"/>
    </w:p>
    <w:p w14:paraId="4FE6008B" w14:textId="632E373E" w:rsidR="001403BE" w:rsidRDefault="001403BE" w:rsidP="00C77EC6">
      <w:r>
        <w:t xml:space="preserve">Informationspflichten können ihre Wirkung nur in Fällen entfalten, in denen Daten direkt bei und von dem Betroffenen selber erhoben werden. Man spricht hier von der sog. Direkterhebung. Erfolgt die Erhebung jedoch an anderer Stelle, so treten Benachrichtigungspflichten </w:t>
      </w:r>
      <w:r w:rsidR="006A2EF7">
        <w:t>an die Stelle der Unterrichtungspflichten</w:t>
      </w:r>
      <w:r>
        <w:t>.</w:t>
      </w:r>
      <w:r w:rsidR="0079763F">
        <w:t xml:space="preserve"> Sie </w:t>
      </w:r>
      <w:r w:rsidR="00D611D4">
        <w:t xml:space="preserve">dienen </w:t>
      </w:r>
      <w:r w:rsidR="0079763F">
        <w:t>auch als Vors</w:t>
      </w:r>
      <w:r w:rsidR="00AF72F4">
        <w:t xml:space="preserve">tufe zu einer späteren Auskunft: Ohne Wissen von der Erhebung wird ein Auskunftsverlangen </w:t>
      </w:r>
      <w:r w:rsidR="008F0A6E">
        <w:t xml:space="preserve">der </w:t>
      </w:r>
      <w:r w:rsidR="00BF3791">
        <w:t>Verantwortlichen Stelle</w:t>
      </w:r>
      <w:r w:rsidR="00AF72F4">
        <w:t xml:space="preserve"> gegenüber kaum entstehen.</w:t>
      </w:r>
    </w:p>
    <w:p w14:paraId="61A2B612" w14:textId="05E0EAE3" w:rsidR="00527795" w:rsidRPr="00F70262" w:rsidRDefault="00527795" w:rsidP="00527795">
      <w:pPr>
        <w:pStyle w:val="berschrift7"/>
      </w:pPr>
      <w:bookmarkStart w:id="374" w:name="_Toc471812255"/>
      <w:bookmarkStart w:id="375" w:name="_Toc471818821"/>
      <w:bookmarkStart w:id="376" w:name="_Toc471826501"/>
      <w:bookmarkStart w:id="377" w:name="_Toc471828103"/>
      <w:bookmarkStart w:id="378" w:name="_Toc471829460"/>
      <w:bookmarkStart w:id="379" w:name="_Toc512241332"/>
      <w:r w:rsidRPr="00F70262">
        <w:t>Verfahren und Form</w:t>
      </w:r>
      <w:bookmarkEnd w:id="374"/>
      <w:bookmarkEnd w:id="375"/>
      <w:bookmarkEnd w:id="376"/>
      <w:bookmarkEnd w:id="377"/>
      <w:bookmarkEnd w:id="378"/>
      <w:bookmarkEnd w:id="379"/>
    </w:p>
    <w:p w14:paraId="4C1AE3F7" w14:textId="1687732A" w:rsidR="00F70262" w:rsidRDefault="00F70262" w:rsidP="00F70262">
      <w:r>
        <w:t xml:space="preserve">Über Art. 13 DSGVO hinausgehend enthält Art. 14 DSGVO genauere Pflichten zum Zeitpunkt der Benachrichtigung, </w:t>
      </w:r>
      <w:r w:rsidR="00643D5E">
        <w:t xml:space="preserve">da diese eben nicht </w:t>
      </w:r>
      <w:r w:rsidR="00C77827">
        <w:t xml:space="preserve">als Unterrichtung </w:t>
      </w:r>
      <w:r w:rsidR="00643D5E">
        <w:t>direkt bei Erhebung stattfindet</w:t>
      </w:r>
      <w:r>
        <w:t xml:space="preserve">. So ist innerhalb einer angemessenen Frist nach </w:t>
      </w:r>
      <w:r w:rsidR="00094223">
        <w:t>Erhebung</w:t>
      </w:r>
      <w:r>
        <w:t xml:space="preserve"> der </w:t>
      </w:r>
      <w:r w:rsidR="00094223">
        <w:t xml:space="preserve">personenbezogenen </w:t>
      </w:r>
      <w:r>
        <w:t xml:space="preserve">Daten der Betroffene hierüber in Kenntnis zu setzen, spätestens jedoch nach einem Monat. Gerade bei </w:t>
      </w:r>
      <w:r>
        <w:lastRenderedPageBreak/>
        <w:t xml:space="preserve">großen Mengen von Daten wird die Verantwortliche Stelle hier schon im Vorfeld </w:t>
      </w:r>
      <w:r w:rsidR="00AE65D3">
        <w:t xml:space="preserve">Verfahren vorgesehen haben </w:t>
      </w:r>
      <w:r>
        <w:t xml:space="preserve">müssen, um diesem Erfordernis nachzukommen. </w:t>
      </w:r>
    </w:p>
    <w:p w14:paraId="3EA8492E" w14:textId="77777777" w:rsidR="00F70262" w:rsidRDefault="00F70262" w:rsidP="00F70262">
      <w:r>
        <w:t xml:space="preserve">Werden die Daten zur Kommunikation mit dem Betroffenen genutzt, so sind die Informationen spätestens mit dieser Kontaktaufnahme bereitzustellen. Die Monatsfrist gilt dann nicht. </w:t>
      </w:r>
    </w:p>
    <w:p w14:paraId="590C4A5E" w14:textId="74B440C9" w:rsidR="00F70262" w:rsidRDefault="00F70262" w:rsidP="00F70262">
      <w:r>
        <w:t xml:space="preserve">Dasselbe gilt, wenn die Offenlegung der Daten an einen </w:t>
      </w:r>
      <w:r w:rsidR="00DF3189">
        <w:t>Dritten</w:t>
      </w:r>
      <w:r>
        <w:t xml:space="preserve"> beabsichtigt ist. Spätestens im Zeitpunkt dieser </w:t>
      </w:r>
      <w:r w:rsidR="00DF3189">
        <w:t xml:space="preserve">Übermittlung </w:t>
      </w:r>
      <w:r>
        <w:t>muss die Information darüber erfolgen.</w:t>
      </w:r>
      <w:r w:rsidR="00C10F9E">
        <w:t xml:space="preserve"> </w:t>
      </w:r>
      <w:r w:rsidR="00C10F9E" w:rsidRPr="00C10F9E">
        <w:t xml:space="preserve">Zu klären ist auch im Verhältnis mehrerer Verarbeiter, wer im Zweifel der Informationspflicht nachkommt. Die Informationspflichten bestehen grundsätzlich nebeneinander, sofern der Betroffene nicht bereits über die Information verfügt (s. </w:t>
      </w:r>
      <w:r w:rsidR="00D14323">
        <w:t xml:space="preserve">Art. 13 Abs. 4, </w:t>
      </w:r>
      <w:r w:rsidR="00C10F9E" w:rsidRPr="00C10F9E">
        <w:t xml:space="preserve">Art. </w:t>
      </w:r>
      <w:r w:rsidR="00D14323">
        <w:t>14</w:t>
      </w:r>
      <w:r w:rsidR="00C10F9E" w:rsidRPr="00C10F9E">
        <w:t xml:space="preserve"> Abs. </w:t>
      </w:r>
      <w:r w:rsidR="00D14323">
        <w:t>5</w:t>
      </w:r>
      <w:r w:rsidR="00F32F67">
        <w:t xml:space="preserve"> </w:t>
      </w:r>
      <w:proofErr w:type="spellStart"/>
      <w:r w:rsidR="00F32F67">
        <w:t>lit</w:t>
      </w:r>
      <w:proofErr w:type="spellEnd"/>
      <w:r w:rsidR="00F32F67">
        <w:t xml:space="preserve">. </w:t>
      </w:r>
      <w:r w:rsidR="00D14323">
        <w:t>a</w:t>
      </w:r>
      <w:r w:rsidR="00C10F9E" w:rsidRPr="00C10F9E">
        <w:t xml:space="preserve"> DSGVO).</w:t>
      </w:r>
      <w:r w:rsidR="00C10F9E">
        <w:t xml:space="preserve"> Hier ist eine Absprache der Beteiligten bei Übermittlungen notwendig.</w:t>
      </w:r>
      <w:r w:rsidR="00C369FA">
        <w:t xml:space="preserve"> Doppelte Informierung ist insoweit freilich nicht schädlich, ein Verlassen auf den jeweils anderen ohne Absprache aber riskant.</w:t>
      </w:r>
    </w:p>
    <w:p w14:paraId="288F53A2" w14:textId="1EE65186" w:rsidR="00F70262" w:rsidRDefault="00F70262" w:rsidP="00F70262">
      <w:r>
        <w:t>Auch besteht keine Pflicht, wenn die Inform</w:t>
      </w:r>
      <w:r w:rsidR="00D678E1">
        <w:t>ierung</w:t>
      </w:r>
      <w:r>
        <w:t xml:space="preserve"> unmöglich ist oder einen unverhältnismäßigen Aufwand erfordert. Letzteres wird in der nachfolgenden Aufzählung konkretisiert: Insbesondere kommt die Unverhältnismäßigkeit bei im öffentlichen Interesse liegenden Verarbeitungen wie zu Archivzwecken, wissenschaftlichen oder historischen Forschungszwecken oder für statistische Zwecke in Frage. Die Bedeutung der Ausnahme dürfte sich außerhalb dieser Fälle daher wohl in engen Grenzen halten.</w:t>
      </w:r>
    </w:p>
    <w:p w14:paraId="1D8837CF" w14:textId="2DE34879" w:rsidR="00F70262" w:rsidRPr="00F559BF" w:rsidRDefault="00F70262" w:rsidP="00F70262">
      <w:r>
        <w:t xml:space="preserve">Ausnahmen können sich ergeben, wenn die Erlangung oder Offenlegung der Daten durch ein anderes Gesetz vorgesehen ist oder die Daten einer Geheimhaltungspflicht oder einem Berufsgeheimnis unterliegen. In diesen Fällen können sich aber Benachrichtigungspflichten auch aus dem </w:t>
      </w:r>
      <w:r w:rsidR="00C369FA">
        <w:t xml:space="preserve">jeweiligen </w:t>
      </w:r>
      <w:r>
        <w:t xml:space="preserve">Spezialgesetz ergeben. </w:t>
      </w:r>
    </w:p>
    <w:p w14:paraId="64409E40" w14:textId="427CF723" w:rsidR="00F70262" w:rsidRPr="00F70262" w:rsidRDefault="00643D5E" w:rsidP="00F327CE">
      <w:r>
        <w:t>Im Gegensatz zu den geschilderten Unterschieden im Verfahren</w:t>
      </w:r>
      <w:r w:rsidR="002C4B8B">
        <w:t>,</w:t>
      </w:r>
      <w:r>
        <w:t xml:space="preserve"> gibt es für die Form keine weiteren Unterschiede zu Art. 12 DSGVO. Insoweit kann somit auf obige Ausführungen verwiesen werden </w:t>
      </w:r>
      <w:r w:rsidRPr="00E007F8">
        <w:t>(</w:t>
      </w:r>
      <w:r w:rsidR="00E007F8">
        <w:t>III.1.b.aa.</w:t>
      </w:r>
      <w:r w:rsidRPr="00E007F8">
        <w:t>).</w:t>
      </w:r>
    </w:p>
    <w:p w14:paraId="1DB1CD37" w14:textId="513E384D" w:rsidR="00A253BA" w:rsidRPr="00F70262" w:rsidRDefault="00527795" w:rsidP="00A253BA">
      <w:pPr>
        <w:pStyle w:val="berschrift7"/>
      </w:pPr>
      <w:bookmarkStart w:id="380" w:name="_Toc471812256"/>
      <w:bookmarkStart w:id="381" w:name="_Toc471818822"/>
      <w:bookmarkStart w:id="382" w:name="_Toc471826503"/>
      <w:bookmarkStart w:id="383" w:name="_Toc471828104"/>
      <w:bookmarkStart w:id="384" w:name="_Toc471829461"/>
      <w:bookmarkStart w:id="385" w:name="_Toc512241333"/>
      <w:r w:rsidRPr="00F70262">
        <w:t>Inhaltliche Anforderungen</w:t>
      </w:r>
      <w:bookmarkEnd w:id="380"/>
      <w:bookmarkEnd w:id="381"/>
      <w:bookmarkEnd w:id="382"/>
      <w:bookmarkEnd w:id="383"/>
      <w:bookmarkEnd w:id="384"/>
      <w:bookmarkEnd w:id="385"/>
    </w:p>
    <w:p w14:paraId="6C1C976D" w14:textId="42A51A31" w:rsidR="007A16D6" w:rsidRDefault="00117E86" w:rsidP="00BF1C86">
      <w:r>
        <w:t>Die</w:t>
      </w:r>
      <w:r w:rsidR="007A16D6">
        <w:t xml:space="preserve"> inhaltlichen Anforderungen ergeben sich </w:t>
      </w:r>
      <w:r>
        <w:t>ebenfalls</w:t>
      </w:r>
      <w:r w:rsidR="007A16D6">
        <w:t xml:space="preserve"> aus Art. 14 DSGVO. Diese entsprechen in weiten Teilen den bereits oben beschriebenen Informationen aus Art. 13 DSGVO, wenn auch die Gliederung innerhalb der Norm vereinzelt abweicht. </w:t>
      </w:r>
      <w:r w:rsidR="00A253BA">
        <w:t xml:space="preserve">Daneben gelten die allgemeinen Grundsätze zu Transparenz und Verständlichkeit aus Art. 12 DSGVO. </w:t>
      </w:r>
    </w:p>
    <w:p w14:paraId="697C4147" w14:textId="44916C18" w:rsidR="007A16D6" w:rsidRDefault="007A16D6" w:rsidP="00BF1C86">
      <w:r>
        <w:t>Auch hier</w:t>
      </w:r>
      <w:r w:rsidR="00512794">
        <w:t xml:space="preserve"> </w:t>
      </w:r>
      <w:r w:rsidR="00A253BA">
        <w:t xml:space="preserve">sind nicht die </w:t>
      </w:r>
      <w:r w:rsidR="006F7106">
        <w:t>personenbezogenen</w:t>
      </w:r>
      <w:r w:rsidR="00A253BA">
        <w:t xml:space="preserve"> Daten selbst Gegenstand der Benachrichtigung.</w:t>
      </w:r>
      <w:r w:rsidR="0068242B" w:rsidRPr="0068242B">
        <w:t xml:space="preserve"> </w:t>
      </w:r>
    </w:p>
    <w:p w14:paraId="44963363" w14:textId="52EAB28D" w:rsidR="00A253BA" w:rsidRPr="00F70262" w:rsidRDefault="0068242B" w:rsidP="00BF1C86">
      <w:r>
        <w:t xml:space="preserve">Als </w:t>
      </w:r>
      <w:r w:rsidR="007A16D6">
        <w:t xml:space="preserve">über Art. 13 DSGVO hinausgehende </w:t>
      </w:r>
      <w:r>
        <w:t xml:space="preserve">zusätzliche Information ist </w:t>
      </w:r>
      <w:r w:rsidR="007A16D6">
        <w:t xml:space="preserve">bei der Benachrichtigung </w:t>
      </w:r>
      <w:r w:rsidR="00117E86">
        <w:t>zusätzlich</w:t>
      </w:r>
      <w:r w:rsidR="007A16D6">
        <w:t xml:space="preserve"> </w:t>
      </w:r>
      <w:r>
        <w:t>die Quelle, aus der die Daten stammen anzugeben sowie gegebenenfalls</w:t>
      </w:r>
      <w:r w:rsidR="0091376E">
        <w:t>,</w:t>
      </w:r>
      <w:r>
        <w:t xml:space="preserve"> ob es sich dabei um eine öffentlich zugängliche Quelle handelt</w:t>
      </w:r>
      <w:r w:rsidR="00F70262">
        <w:t>.</w:t>
      </w:r>
    </w:p>
    <w:p w14:paraId="76FFA13F" w14:textId="69DFF665" w:rsidR="00643647" w:rsidRDefault="00643647" w:rsidP="00643647">
      <w:pPr>
        <w:pStyle w:val="berschrift6"/>
      </w:pPr>
      <w:bookmarkStart w:id="386" w:name="_Toc469776794"/>
      <w:bookmarkStart w:id="387" w:name="_Toc471812257"/>
      <w:bookmarkStart w:id="388" w:name="_Toc471818823"/>
      <w:bookmarkStart w:id="389" w:name="_Toc471826504"/>
      <w:bookmarkStart w:id="390" w:name="_Toc471828105"/>
      <w:bookmarkStart w:id="391" w:name="_Toc471829462"/>
      <w:bookmarkStart w:id="392" w:name="_Toc512241334"/>
      <w:r>
        <w:t>Auskunft</w:t>
      </w:r>
      <w:bookmarkEnd w:id="386"/>
      <w:bookmarkEnd w:id="387"/>
      <w:bookmarkEnd w:id="388"/>
      <w:bookmarkEnd w:id="389"/>
      <w:bookmarkEnd w:id="390"/>
      <w:bookmarkEnd w:id="391"/>
      <w:bookmarkEnd w:id="392"/>
    </w:p>
    <w:p w14:paraId="3F69B3CB" w14:textId="20F9BD20" w:rsidR="006C025A" w:rsidRDefault="008F07E6" w:rsidP="007E5FF5">
      <w:r>
        <w:t>Unabhängig von der</w:t>
      </w:r>
      <w:r w:rsidR="006C025A">
        <w:t xml:space="preserve"> Unterrichtung </w:t>
      </w:r>
      <w:r>
        <w:t xml:space="preserve">und </w:t>
      </w:r>
      <w:r w:rsidR="006C025A">
        <w:t xml:space="preserve">Benachrichtigung </w:t>
      </w:r>
      <w:r w:rsidR="00AA30F7">
        <w:t xml:space="preserve">hat der </w:t>
      </w:r>
      <w:r w:rsidR="006C025A">
        <w:t xml:space="preserve">Betroffene </w:t>
      </w:r>
      <w:r w:rsidR="00AA30F7">
        <w:t>stets</w:t>
      </w:r>
      <w:r>
        <w:t xml:space="preserve"> </w:t>
      </w:r>
      <w:r w:rsidR="006C025A">
        <w:t xml:space="preserve">ein Recht auf Auskunft. Dieses Recht unterscheidet sich </w:t>
      </w:r>
      <w:r w:rsidR="0011433F">
        <w:t xml:space="preserve">in </w:t>
      </w:r>
      <w:r w:rsidR="006C025A">
        <w:t>zwei wesentliche</w:t>
      </w:r>
      <w:r w:rsidR="0011433F">
        <w:t>n Aspekten</w:t>
      </w:r>
      <w:r w:rsidR="006C025A">
        <w:t xml:space="preserve"> von den vorherigen </w:t>
      </w:r>
      <w:r w:rsidR="00790D07">
        <w:t>Pflichten</w:t>
      </w:r>
      <w:r w:rsidR="006C025A">
        <w:t>:</w:t>
      </w:r>
    </w:p>
    <w:p w14:paraId="55233A74" w14:textId="47007729" w:rsidR="006C025A" w:rsidRDefault="006C025A" w:rsidP="00CE08BF">
      <w:pPr>
        <w:pStyle w:val="Listenabsatz"/>
        <w:numPr>
          <w:ilvl w:val="0"/>
          <w:numId w:val="25"/>
        </w:numPr>
      </w:pPr>
      <w:r>
        <w:t xml:space="preserve">Einerseits geht es hier nicht mehr abstrakt um die Art der erfassten Daten, sondern um die konkret gespeicherten Informationen. Dies ermöglicht </w:t>
      </w:r>
      <w:r w:rsidR="009D1C0C">
        <w:t xml:space="preserve">dem Betroffenen </w:t>
      </w:r>
      <w:r>
        <w:t xml:space="preserve">auch erstmals </w:t>
      </w:r>
      <w:r w:rsidR="008669A4">
        <w:t>eine inhaltliche Nachprüfung</w:t>
      </w:r>
      <w:r w:rsidR="00994002">
        <w:t>.</w:t>
      </w:r>
    </w:p>
    <w:p w14:paraId="43864776" w14:textId="176E5E22" w:rsidR="006C025A" w:rsidRDefault="006C025A" w:rsidP="00CE08BF">
      <w:pPr>
        <w:pStyle w:val="Listenabsatz"/>
        <w:numPr>
          <w:ilvl w:val="0"/>
          <w:numId w:val="25"/>
        </w:numPr>
      </w:pPr>
      <w:r>
        <w:t>Andererseits besteht hier keine Pflicht für die Verantwortliche Stelle</w:t>
      </w:r>
      <w:r w:rsidR="000F2A00">
        <w:t>,</w:t>
      </w:r>
      <w:r>
        <w:t xml:space="preserve"> proaktiv tätig zu werden, sondern lediglich ein </w:t>
      </w:r>
      <w:r w:rsidR="00E05C01">
        <w:t>Anspruch</w:t>
      </w:r>
      <w:r>
        <w:t xml:space="preserve"> des Betroffenen</w:t>
      </w:r>
      <w:r w:rsidR="0011433F">
        <w:t>, auf den dann reagiert werden muss</w:t>
      </w:r>
      <w:r>
        <w:t xml:space="preserve">. </w:t>
      </w:r>
    </w:p>
    <w:p w14:paraId="4A2C0522" w14:textId="13054B9D" w:rsidR="00183994" w:rsidRDefault="006C025A" w:rsidP="001B6E34">
      <w:r>
        <w:t xml:space="preserve">Nichtdestotrotz ist im Falle </w:t>
      </w:r>
      <w:r w:rsidR="00007FD7">
        <w:t>eines Auskunfts</w:t>
      </w:r>
      <w:r w:rsidR="0075742F">
        <w:t>verlangens</w:t>
      </w:r>
      <w:r w:rsidR="00007FD7">
        <w:t xml:space="preserve"> eines</w:t>
      </w:r>
      <w:r>
        <w:t xml:space="preserve"> Betroffenen natürlich auch hier aus Sicht der </w:t>
      </w:r>
      <w:r w:rsidR="00BF3791">
        <w:t>Verantwortlichen Stelle</w:t>
      </w:r>
      <w:r>
        <w:t xml:space="preserve"> auf eine rechtssichere und auch ansonsten </w:t>
      </w:r>
      <w:r w:rsidR="00007FD7">
        <w:t xml:space="preserve">positive </w:t>
      </w:r>
      <w:r w:rsidR="0075742F">
        <w:t xml:space="preserve">und konstruktive </w:t>
      </w:r>
      <w:r>
        <w:t>Kommunikation zu achten.</w:t>
      </w:r>
    </w:p>
    <w:p w14:paraId="0AFC8EE6" w14:textId="37B42AD7" w:rsidR="00187198" w:rsidRPr="00187198" w:rsidRDefault="00183994" w:rsidP="00187198">
      <w:pPr>
        <w:pStyle w:val="berschrift7"/>
      </w:pPr>
      <w:bookmarkStart w:id="393" w:name="_Toc471812258"/>
      <w:bookmarkStart w:id="394" w:name="_Toc471818824"/>
      <w:bookmarkStart w:id="395" w:name="_Toc471826505"/>
      <w:bookmarkStart w:id="396" w:name="_Toc471828106"/>
      <w:bookmarkStart w:id="397" w:name="_Toc471829463"/>
      <w:bookmarkStart w:id="398" w:name="_Toc512241335"/>
      <w:r>
        <w:lastRenderedPageBreak/>
        <w:t>Verfahren und Form</w:t>
      </w:r>
      <w:bookmarkEnd w:id="393"/>
      <w:bookmarkEnd w:id="394"/>
      <w:bookmarkEnd w:id="395"/>
      <w:bookmarkEnd w:id="396"/>
      <w:bookmarkEnd w:id="397"/>
      <w:bookmarkEnd w:id="398"/>
    </w:p>
    <w:p w14:paraId="65AE0F5B" w14:textId="59BBFCA2" w:rsidR="00187198" w:rsidRDefault="00187198" w:rsidP="001B6E34">
      <w:r>
        <w:t xml:space="preserve">Die zentrale Regelung zum Auskunftsrecht ist Art. 15 Abs. 3 DSGVO. </w:t>
      </w:r>
    </w:p>
    <w:p w14:paraId="263DBCA8" w14:textId="1A552596" w:rsidR="00187198" w:rsidRDefault="00187198" w:rsidP="00187198">
      <w:r>
        <w:t xml:space="preserve">Anders als </w:t>
      </w:r>
      <w:r w:rsidR="00F32F67">
        <w:t xml:space="preserve">der frühere </w:t>
      </w:r>
      <w:r>
        <w:t>§ 34 Abs. 8 BDSG</w:t>
      </w:r>
      <w:r w:rsidR="00621408">
        <w:t xml:space="preserve">, welcher </w:t>
      </w:r>
      <w:r w:rsidR="00E25F73">
        <w:t xml:space="preserve">den Anspruch grundsätzlich auf eine Auskunft </w:t>
      </w:r>
      <w:r w:rsidR="00621408">
        <w:t>einmal im Jahr</w:t>
      </w:r>
      <w:r w:rsidR="00791B3A">
        <w:t xml:space="preserve"> </w:t>
      </w:r>
      <w:r w:rsidR="00E25F73">
        <w:t>beschränkte</w:t>
      </w:r>
      <w:r w:rsidR="00621408">
        <w:t>,</w:t>
      </w:r>
      <w:r>
        <w:t xml:space="preserve"> ist in der DSGVO</w:t>
      </w:r>
      <w:r w:rsidR="00621408">
        <w:t xml:space="preserve"> kein festgeschriebenes Intervall</w:t>
      </w:r>
      <w:r w:rsidR="00790D07">
        <w:t xml:space="preserve"> mehr</w:t>
      </w:r>
      <w:r w:rsidR="00621408">
        <w:t xml:space="preserve"> vorgesehen</w:t>
      </w:r>
      <w:r>
        <w:t xml:space="preserve">, was eine gewisse Unsicherheit schafft. </w:t>
      </w:r>
      <w:proofErr w:type="spellStart"/>
      <w:r>
        <w:t>ErwGr</w:t>
      </w:r>
      <w:proofErr w:type="spellEnd"/>
      <w:r>
        <w:t>. 63 spricht aber jedenfalls von „angemessenen Abständen“. Die Auskunft bleibt weiterhin grundsätzlich kostenlos, wobei Art. 15 Abs. 3 S.</w:t>
      </w:r>
      <w:r w:rsidR="00771270">
        <w:t> </w:t>
      </w:r>
      <w:r>
        <w:t xml:space="preserve">2 DSGVO für weitere Kopien </w:t>
      </w:r>
      <w:r w:rsidR="00771270">
        <w:t>ein Entgelt</w:t>
      </w:r>
      <w:r>
        <w:t xml:space="preserve"> </w:t>
      </w:r>
      <w:r w:rsidR="00771270">
        <w:t>zulässt</w:t>
      </w:r>
      <w:r>
        <w:t xml:space="preserve">. Eine Orientierung an der jährlichen Auskunft des </w:t>
      </w:r>
      <w:r w:rsidR="00D50944">
        <w:t xml:space="preserve">früheren </w:t>
      </w:r>
      <w:r>
        <w:t xml:space="preserve">BDSG scheint in vielen Fällen wohl sinnvoll. Bei sich häufig verändernden Daten wäre ohne eine solche Festlegung aber auch eine häufigere Auskunft denkbar. Eine Grenze setzt hier Art. 12 Abs. 5 DSGVO zur Verhinderung vielfacher, exzessiver oder offensichtlich unbegründeter Anträge. Den Nachweis dafür muss die Verantwortliche Stelle erbringen. Zur Höhe des Entgelts erwähnt Art. 15 Abs. 3 DSGVO als Grundlage die tatsächlich entstandenen Verwaltungskosten. Keine Stellungnahme ist zu eventuellen </w:t>
      </w:r>
      <w:r w:rsidR="00B66F2B">
        <w:t>Hinwei</w:t>
      </w:r>
      <w:r>
        <w:t>spflichten vor Erhebung eines Entgelts zu finden.</w:t>
      </w:r>
    </w:p>
    <w:p w14:paraId="7A9FECC2" w14:textId="70DC31E5" w:rsidR="00187198" w:rsidRDefault="00187198" w:rsidP="00187198">
      <w:r>
        <w:t xml:space="preserve">Von den Auskunftspflichten und dem neugeschaffenen Zugangsrecht enthält Art. 15 Abs. 4 DSGVO eine im Vergleich zum </w:t>
      </w:r>
      <w:r w:rsidR="00A26DF6">
        <w:t>bisherigen deutschen</w:t>
      </w:r>
      <w:r>
        <w:t xml:space="preserve"> Recht sehr knappe Ausnahmeregelung. So darf </w:t>
      </w:r>
      <w:r w:rsidR="00DD1537">
        <w:t xml:space="preserve">ein Datenauszug </w:t>
      </w:r>
      <w:r w:rsidR="00A26DF6">
        <w:t>gem. Art. </w:t>
      </w:r>
      <w:r>
        <w:t xml:space="preserve">15 Abs. 4 DSGVO lediglich die Rechte und Pflichten anderer Personen nicht beeinträchtigen. Zur Erläuterung zählt </w:t>
      </w:r>
      <w:proofErr w:type="spellStart"/>
      <w:r>
        <w:t>Erw</w:t>
      </w:r>
      <w:r w:rsidR="00A7431A">
        <w:t>Gr</w:t>
      </w:r>
      <w:proofErr w:type="spellEnd"/>
      <w:r w:rsidR="00A7431A">
        <w:t>.</w:t>
      </w:r>
      <w:r>
        <w:t xml:space="preserve"> 63 beispielhaft Geschäftsgeheimnisse</w:t>
      </w:r>
      <w:r w:rsidR="00DD1537">
        <w:t xml:space="preserve"> und </w:t>
      </w:r>
      <w:r>
        <w:t>Rechte des geistigen Eigentums, insbesondere Urheberrechte an Software</w:t>
      </w:r>
      <w:r w:rsidR="00DD1537">
        <w:t>,</w:t>
      </w:r>
      <w:r>
        <w:t xml:space="preserve"> auf. Dies solle allerdings nicht zu einer völligen Verweigerung der Auskunft führen.</w:t>
      </w:r>
    </w:p>
    <w:p w14:paraId="644AD01A" w14:textId="747F44DD" w:rsidR="00187198" w:rsidRPr="006C025A" w:rsidRDefault="00187198" w:rsidP="00187198">
      <w:r>
        <w:t>Ähnliche Ausführungen wie in Art</w:t>
      </w:r>
      <w:r w:rsidR="00DD1537">
        <w:t>.</w:t>
      </w:r>
      <w:r>
        <w:t xml:space="preserve"> 14 DSGVO bei Unmöglichkeit, Unverhältnismäßigkeit oder bei Bestehen von Berufsgeheimnissen fehlen. Diese lassen sich aber problemlos in die weite Formulierung des Art. 15 Abs. 4 DSGVO hineinlesen.</w:t>
      </w:r>
    </w:p>
    <w:p w14:paraId="1D311976" w14:textId="16163BAC" w:rsidR="006C025A" w:rsidRDefault="006C025A" w:rsidP="001B6E34">
      <w:r>
        <w:t xml:space="preserve">Außerdem ist die für die Bearbeitung solcher Anträge nötige Infrastruktur zu schaffen. </w:t>
      </w:r>
    </w:p>
    <w:p w14:paraId="7FAA97DC" w14:textId="19ACD40D" w:rsidR="006C025A" w:rsidRDefault="006C025A" w:rsidP="001B6E34">
      <w:r>
        <w:t xml:space="preserve">Formvorgaben oder </w:t>
      </w:r>
      <w:r w:rsidR="002033D7">
        <w:t xml:space="preserve">Begründungspflichten </w:t>
      </w:r>
      <w:r>
        <w:t xml:space="preserve">für den Antrag </w:t>
      </w:r>
      <w:r w:rsidR="00183994">
        <w:t>gibt es nicht</w:t>
      </w:r>
      <w:r>
        <w:t xml:space="preserve">. </w:t>
      </w:r>
      <w:proofErr w:type="spellStart"/>
      <w:r>
        <w:t>Erw</w:t>
      </w:r>
      <w:r w:rsidR="00A7431A">
        <w:t>Gr</w:t>
      </w:r>
      <w:proofErr w:type="spellEnd"/>
      <w:r w:rsidR="00A7431A">
        <w:t>.</w:t>
      </w:r>
      <w:r>
        <w:t xml:space="preserve"> 63 </w:t>
      </w:r>
      <w:r w:rsidR="00007FD7">
        <w:t xml:space="preserve">der DSGVO </w:t>
      </w:r>
      <w:r>
        <w:t xml:space="preserve">sieht aber wie auch das </w:t>
      </w:r>
      <w:r w:rsidR="00007FD7">
        <w:t xml:space="preserve">bisherige </w:t>
      </w:r>
      <w:r>
        <w:t xml:space="preserve">Recht grundsätzlich vor, dass der </w:t>
      </w:r>
      <w:r w:rsidR="00082FC8">
        <w:t>Betroffene</w:t>
      </w:r>
      <w:r>
        <w:t xml:space="preserve"> die Daten, zu denen er Auskunft begehrt, insbesondere </w:t>
      </w:r>
      <w:r w:rsidR="001B77EB">
        <w:t>gegenüber</w:t>
      </w:r>
      <w:r>
        <w:t xml:space="preserve"> Unternehmen</w:t>
      </w:r>
      <w:r w:rsidR="00082FC8">
        <w:t xml:space="preserve"> und Behörden</w:t>
      </w:r>
      <w:r>
        <w:t>, die große Mengen von Daten verarbeiten</w:t>
      </w:r>
      <w:r w:rsidR="000D6438">
        <w:t>,</w:t>
      </w:r>
      <w:r>
        <w:t xml:space="preserve"> präzisieren muss, </w:t>
      </w:r>
      <w:r w:rsidR="000D6438">
        <w:t xml:space="preserve">damit </w:t>
      </w:r>
      <w:r>
        <w:t>diese auffindbar sind. Aus praktischer Sicht scheint ein anderes Vorgehen kaum denkbar.</w:t>
      </w:r>
    </w:p>
    <w:p w14:paraId="2351E355" w14:textId="374549D1" w:rsidR="00187198" w:rsidRPr="00813DF7" w:rsidRDefault="00183994" w:rsidP="00187198">
      <w:pPr>
        <w:pStyle w:val="berschrift7"/>
      </w:pPr>
      <w:bookmarkStart w:id="399" w:name="_Toc471812259"/>
      <w:bookmarkStart w:id="400" w:name="_Toc471818825"/>
      <w:bookmarkStart w:id="401" w:name="_Toc471826506"/>
      <w:bookmarkStart w:id="402" w:name="_Toc471828107"/>
      <w:bookmarkStart w:id="403" w:name="_Toc471829464"/>
      <w:bookmarkStart w:id="404" w:name="_Toc512241336"/>
      <w:r w:rsidRPr="00813DF7">
        <w:t>Inhaltliche Anforderungen</w:t>
      </w:r>
      <w:bookmarkEnd w:id="399"/>
      <w:bookmarkEnd w:id="400"/>
      <w:bookmarkEnd w:id="401"/>
      <w:bookmarkEnd w:id="402"/>
      <w:bookmarkEnd w:id="403"/>
      <w:bookmarkEnd w:id="404"/>
    </w:p>
    <w:p w14:paraId="5508377B" w14:textId="0D768E27" w:rsidR="00187198" w:rsidRPr="00BF1C86" w:rsidRDefault="00187198" w:rsidP="00BF1C86">
      <w:r>
        <w:t>Es ist dem Betroffenen auf Antrag eine „Kopie“ aller verarbeiteten Daten zu überlassen.</w:t>
      </w:r>
      <w:r w:rsidR="00D544B1" w:rsidRPr="00D544B1">
        <w:t xml:space="preserve"> </w:t>
      </w:r>
      <w:r w:rsidR="00D544B1">
        <w:t>Bisher war davon auszugehen, dass der Betroffene so informiert werden muss, dass er auch ohne Vorkenntnisse, Hilfsmittel oder gar fachliche Beratung feststellen kann, welche Daten über ihn gespeichert worden sind.</w:t>
      </w:r>
    </w:p>
    <w:p w14:paraId="528D17D0" w14:textId="77777777" w:rsidR="00BA5F43" w:rsidRDefault="00BA5F43" w:rsidP="00BA5F43">
      <w:pPr>
        <w:pStyle w:val="berschrift5"/>
      </w:pPr>
      <w:bookmarkStart w:id="405" w:name="_Toc469776796"/>
      <w:bookmarkStart w:id="406" w:name="_Toc471812260"/>
      <w:bookmarkStart w:id="407" w:name="_Toc471818826"/>
      <w:bookmarkStart w:id="408" w:name="_Toc471826507"/>
      <w:bookmarkStart w:id="409" w:name="_Toc471828108"/>
      <w:bookmarkStart w:id="410" w:name="_Toc471829465"/>
      <w:bookmarkStart w:id="411" w:name="_Toc512241337"/>
      <w:r>
        <w:t>Proaktive Kommunikation mit Datenschutzaufsichtsbehörden</w:t>
      </w:r>
      <w:bookmarkEnd w:id="405"/>
      <w:bookmarkEnd w:id="406"/>
      <w:bookmarkEnd w:id="407"/>
      <w:bookmarkEnd w:id="408"/>
      <w:bookmarkEnd w:id="409"/>
      <w:bookmarkEnd w:id="410"/>
      <w:bookmarkEnd w:id="411"/>
    </w:p>
    <w:p w14:paraId="5E1E8685" w14:textId="72E94193" w:rsidR="005D6CB3" w:rsidRDefault="005D6CB3" w:rsidP="0080035E">
      <w:pPr>
        <w:pStyle w:val="Schrifttum"/>
      </w:pPr>
      <w:r w:rsidRPr="006547CA">
        <w:rPr>
          <w:i/>
        </w:rPr>
        <w:t xml:space="preserve">v. </w:t>
      </w:r>
      <w:proofErr w:type="spellStart"/>
      <w:r w:rsidRPr="006547CA">
        <w:rPr>
          <w:i/>
        </w:rPr>
        <w:t>Lewinski</w:t>
      </w:r>
      <w:proofErr w:type="spellEnd"/>
      <w:r w:rsidRPr="006547CA">
        <w:t>,</w:t>
      </w:r>
      <w:r w:rsidR="006547CA">
        <w:t xml:space="preserve"> F</w:t>
      </w:r>
      <w:r>
        <w:t>ormelles und informelles Handeln der datenschutzrechtlichen Aufsichtsbehörden</w:t>
      </w:r>
      <w:r w:rsidR="006547CA">
        <w:t>,</w:t>
      </w:r>
      <w:r w:rsidRPr="006547CA">
        <w:t xml:space="preserve"> RD</w:t>
      </w:r>
      <w:r w:rsidR="00DB534C">
        <w:t>V [Recht der Datenverarbeitung]</w:t>
      </w:r>
      <w:r w:rsidRPr="006547CA">
        <w:t xml:space="preserve"> 2001, </w:t>
      </w:r>
      <w:r w:rsidR="006547CA">
        <w:t xml:space="preserve">S. </w:t>
      </w:r>
      <w:r w:rsidRPr="006547CA">
        <w:t>275</w:t>
      </w:r>
      <w:r>
        <w:t xml:space="preserve"> ff.</w:t>
      </w:r>
    </w:p>
    <w:p w14:paraId="09D75AB6" w14:textId="35062D69" w:rsidR="00BA5F43" w:rsidRDefault="00BA5F43" w:rsidP="00BA5F43">
      <w:r>
        <w:t>Schon an dieser Stelle soll kurz die Bedeutung der Kommunikation mit den Datenschutzaufsichtsbehörden erwähnt werden. Auch wenn Aufsicht aus Sicht de</w:t>
      </w:r>
      <w:r w:rsidR="00153B97">
        <w:t xml:space="preserve">r </w:t>
      </w:r>
      <w:r w:rsidR="00BF3791">
        <w:t>Verantwortlichen Stelle</w:t>
      </w:r>
      <w:r>
        <w:t xml:space="preserve"> häufig eher im Zusammenhang mit Verstößen und Sanktionen eine Rolle spielt, sollte die Ebene des informellen Austausches und der faktischen Zusammenarbeit mit diesen für den Datenschutz nicht unterschätzt werden. In den obigen Absätzen</w:t>
      </w:r>
      <w:r w:rsidR="009C0824">
        <w:t xml:space="preserve">, beispielsweise bezüglich der Datenschutz-Folgenabschätzung, </w:t>
      </w:r>
      <w:r>
        <w:t xml:space="preserve">wurden </w:t>
      </w:r>
      <w:r w:rsidR="009C0824">
        <w:t>diesbezüglich</w:t>
      </w:r>
      <w:r>
        <w:t xml:space="preserve"> schon einige kooperative Elemente der DSGVO angesprochen. </w:t>
      </w:r>
    </w:p>
    <w:p w14:paraId="2AE846D6" w14:textId="048DA7FB" w:rsidR="00153B97" w:rsidRDefault="00153B97" w:rsidP="00153B97">
      <w:pPr>
        <w:pStyle w:val="berschrift6"/>
      </w:pPr>
      <w:bookmarkStart w:id="412" w:name="_Toc471812261"/>
      <w:bookmarkStart w:id="413" w:name="_Toc471818827"/>
      <w:bookmarkStart w:id="414" w:name="_Toc471826508"/>
      <w:bookmarkStart w:id="415" w:name="_Toc471828109"/>
      <w:bookmarkStart w:id="416" w:name="_Toc471829466"/>
      <w:bookmarkStart w:id="417" w:name="_Toc512241338"/>
      <w:r>
        <w:lastRenderedPageBreak/>
        <w:t>Kein vorgeschriebenes Verfahren</w:t>
      </w:r>
      <w:bookmarkEnd w:id="412"/>
      <w:bookmarkEnd w:id="413"/>
      <w:bookmarkEnd w:id="414"/>
      <w:bookmarkEnd w:id="415"/>
      <w:bookmarkEnd w:id="416"/>
      <w:bookmarkEnd w:id="417"/>
    </w:p>
    <w:p w14:paraId="25BFAAEC" w14:textId="4612F013" w:rsidR="00BA5F43" w:rsidRDefault="00437B23" w:rsidP="00BA5F43">
      <w:r>
        <w:t>Auch unter der DSGVO gehört</w:t>
      </w:r>
      <w:r w:rsidR="00BA5F43">
        <w:t xml:space="preserve"> die Beratung der </w:t>
      </w:r>
      <w:r w:rsidR="00BF3791">
        <w:t>Verantwortlichen Stelle</w:t>
      </w:r>
      <w:r w:rsidR="00BA5F43">
        <w:t xml:space="preserve"> durch die Aufsichtsbehörden zu deren Aufgabenbereich (</w:t>
      </w:r>
      <w:r>
        <w:t xml:space="preserve">Art. 57 Abs. 1 </w:t>
      </w:r>
      <w:proofErr w:type="spellStart"/>
      <w:r>
        <w:t>lit</w:t>
      </w:r>
      <w:proofErr w:type="spellEnd"/>
      <w:r>
        <w:t xml:space="preserve">. d, </w:t>
      </w:r>
      <w:proofErr w:type="spellStart"/>
      <w:r>
        <w:t>lit</w:t>
      </w:r>
      <w:proofErr w:type="spellEnd"/>
      <w:r>
        <w:t>. l DSGVO</w:t>
      </w:r>
      <w:r w:rsidR="00BA5F43">
        <w:t xml:space="preserve">). </w:t>
      </w:r>
      <w:r w:rsidR="00652049">
        <w:t>Diese</w:t>
      </w:r>
      <w:r w:rsidR="00BA5F43">
        <w:t xml:space="preserve"> wird bereits als Kontroll- und Einwirkungsinstrument der Aufsichtsbehörden angesehen. Die Beratung wirkt dabei häufig in beide Richtungen: die Verantwortliche Stelle kann sich auf diesem Wege informieren, und auch die Aufsichtsbehörde bringt so branchenübliches Verhalten und Besonderheiten in Erfahrung, die ihr weiteres Tätigwerden beeinflussen können. Durch die </w:t>
      </w:r>
      <w:proofErr w:type="spellStart"/>
      <w:r w:rsidR="00BA5F43">
        <w:t>generalklauselartige</w:t>
      </w:r>
      <w:proofErr w:type="spellEnd"/>
      <w:r w:rsidR="00BA5F43">
        <w:t xml:space="preserve"> Ausgestaltung des neuen Datenschutzrechtes, viele unbestimmte Rechtsbegriffe und </w:t>
      </w:r>
      <w:r w:rsidR="00906389">
        <w:t>dem</w:t>
      </w:r>
      <w:r w:rsidR="00BA5F43">
        <w:t xml:space="preserve"> bewussten Verzicht der DSGVO auf techn</w:t>
      </w:r>
      <w:r w:rsidR="00980835">
        <w:t>ik</w:t>
      </w:r>
      <w:r w:rsidR="00BA5F43">
        <w:t>spezifische Regelungen</w:t>
      </w:r>
      <w:r w:rsidR="00E53927">
        <w:t>,</w:t>
      </w:r>
      <w:r w:rsidR="00BA5F43">
        <w:t xml:space="preserve"> ist die Bedeutung </w:t>
      </w:r>
      <w:r w:rsidR="00906389">
        <w:t>der</w:t>
      </w:r>
      <w:r w:rsidR="00BA5F43">
        <w:t xml:space="preserve"> informellen </w:t>
      </w:r>
      <w:r w:rsidR="00906389">
        <w:t>Zusammenarbeit</w:t>
      </w:r>
      <w:r w:rsidR="00BA5F43">
        <w:t xml:space="preserve"> trotz einer graduellen Verschärfung der Aufsicht und der Bußgelder auch für die Zukunft weiterhin als hoch einzuschätzen.</w:t>
      </w:r>
    </w:p>
    <w:p w14:paraId="1556BA86" w14:textId="577D7D45" w:rsidR="00153B97" w:rsidRDefault="00153B97" w:rsidP="00F702D6">
      <w:pPr>
        <w:pStyle w:val="berschrift6"/>
      </w:pPr>
      <w:bookmarkStart w:id="418" w:name="_Toc471812262"/>
      <w:bookmarkStart w:id="419" w:name="_Toc471818828"/>
      <w:bookmarkStart w:id="420" w:name="_Toc471826509"/>
      <w:bookmarkStart w:id="421" w:name="_Toc471828110"/>
      <w:bookmarkStart w:id="422" w:name="_Toc471829467"/>
      <w:bookmarkStart w:id="423" w:name="_Toc512241339"/>
      <w:r>
        <w:t>Inhalt</w:t>
      </w:r>
      <w:bookmarkEnd w:id="418"/>
      <w:bookmarkEnd w:id="419"/>
      <w:bookmarkEnd w:id="420"/>
      <w:bookmarkEnd w:id="421"/>
      <w:bookmarkEnd w:id="422"/>
      <w:bookmarkEnd w:id="423"/>
    </w:p>
    <w:p w14:paraId="432770C7" w14:textId="48F9FFCC" w:rsidR="00813DF7" w:rsidRPr="00813DF7" w:rsidRDefault="00813DF7" w:rsidP="00F702D6">
      <w:r w:rsidRPr="00813DF7">
        <w:t>Bezüglich des Kommunikationsinhaltes sind aus rechtlicher Sicht kaum Grenzen zu ziehen. Rein praktisch wird die Aufsichtsbehörde aber natürlich keine Beratung über ihren Aufgabenbereich hinaus leisten können</w:t>
      </w:r>
      <w:r w:rsidR="0035090B">
        <w:t>,</w:t>
      </w:r>
      <w:r w:rsidRPr="00813DF7">
        <w:t xml:space="preserve"> wollen</w:t>
      </w:r>
      <w:r w:rsidR="0035090B">
        <w:t xml:space="preserve"> und dürfen</w:t>
      </w:r>
      <w:r w:rsidRPr="00813DF7">
        <w:t>.</w:t>
      </w:r>
    </w:p>
    <w:p w14:paraId="043BA8E5" w14:textId="1F84CCD6" w:rsidR="00153B97" w:rsidRDefault="00813DF7" w:rsidP="00F702D6">
      <w:r w:rsidRPr="00813DF7">
        <w:t xml:space="preserve">Auch kann sich eine zu offene Kommunikation aus Sicht der </w:t>
      </w:r>
      <w:r w:rsidR="00BF3791">
        <w:t>Verantwortlichen Stelle</w:t>
      </w:r>
      <w:r w:rsidRPr="00813DF7">
        <w:t xml:space="preserve"> möglicherweise im Einzelfall negativ auswirken. So ist eine direkte Information über bußgeldwerte oder gar strafbare Verstöße </w:t>
      </w:r>
      <w:r w:rsidR="00020A0B">
        <w:t>(„Selbstbezichtigung“) innerhalb eines</w:t>
      </w:r>
      <w:r w:rsidRPr="00813DF7">
        <w:t xml:space="preserve"> informellen Verfahrens ohne fundierte juristische Beratung kaum zu empfehlen. </w:t>
      </w:r>
      <w:r w:rsidR="0004593B">
        <w:t>Ebenso ist</w:t>
      </w:r>
      <w:r w:rsidRPr="00813DF7">
        <w:t xml:space="preserve"> ein</w:t>
      </w:r>
      <w:r w:rsidR="008602AD">
        <w:t>e pauschale und eigenmächtige</w:t>
      </w:r>
      <w:r w:rsidRPr="00813DF7">
        <w:t xml:space="preserve"> </w:t>
      </w:r>
      <w:r w:rsidR="008602AD">
        <w:t>Öffnung interner</w:t>
      </w:r>
      <w:r w:rsidRPr="00813DF7">
        <w:t xml:space="preserve"> Informationen </w:t>
      </w:r>
      <w:r w:rsidR="008602AD">
        <w:t>für die Datenschutzaufsicht</w:t>
      </w:r>
      <w:r w:rsidRPr="00813DF7">
        <w:t xml:space="preserve"> nicht ratsam. Anders als in anderen Rechtskreisen kennt das deutsche Recht </w:t>
      </w:r>
      <w:r w:rsidR="00431682">
        <w:t xml:space="preserve">zudem </w:t>
      </w:r>
      <w:r w:rsidRPr="00813DF7">
        <w:t xml:space="preserve">keine pauschalen Verwertungsverbote. Dies gilt insbesondere für sog. „Zufallsfunde“, die ein freier Zugang über die eigentlich zu klärenden Vorgänge hinaus ermöglichen könnte. Hier drohen erhebliche Konsequenzen. </w:t>
      </w:r>
    </w:p>
    <w:p w14:paraId="294ED628" w14:textId="4BF58484" w:rsidR="00F702D6" w:rsidRPr="00153B97" w:rsidRDefault="00F702D6" w:rsidP="00F702D6">
      <w:pPr>
        <w:pStyle w:val="berschrift6"/>
      </w:pPr>
      <w:bookmarkStart w:id="424" w:name="_Toc471812263"/>
      <w:bookmarkStart w:id="425" w:name="_Toc471818829"/>
      <w:bookmarkStart w:id="426" w:name="_Toc471826510"/>
      <w:bookmarkStart w:id="427" w:name="_Toc471828111"/>
      <w:bookmarkStart w:id="428" w:name="_Toc471829468"/>
      <w:bookmarkStart w:id="429" w:name="_Toc512241340"/>
      <w:r>
        <w:t>Verwendung in der Datenschutzkommunikation</w:t>
      </w:r>
      <w:bookmarkEnd w:id="424"/>
      <w:bookmarkEnd w:id="425"/>
      <w:bookmarkEnd w:id="426"/>
      <w:bookmarkEnd w:id="427"/>
      <w:bookmarkEnd w:id="428"/>
      <w:bookmarkEnd w:id="429"/>
    </w:p>
    <w:p w14:paraId="450CD90E" w14:textId="2A8E1FC4" w:rsidR="00BA5F43" w:rsidRPr="00EB022C" w:rsidRDefault="00BA5F43" w:rsidP="00BA5F43">
      <w:r>
        <w:t>Ein gutes Verhältnis und eine offene Kommunikation mit den Aufsichtsbehörden können hier also schon im Vorfeld mögliche Verarbeitungsrisiken aufdecken und Haftungsrisiken langfristig reduzieren</w:t>
      </w:r>
      <w:r w:rsidR="00773DDF">
        <w:t>.</w:t>
      </w:r>
    </w:p>
    <w:p w14:paraId="2E39308D" w14:textId="65329706" w:rsidR="00AD3874" w:rsidRDefault="00AD3874" w:rsidP="00AD3874">
      <w:pPr>
        <w:pStyle w:val="berschrift5"/>
      </w:pPr>
      <w:bookmarkStart w:id="430" w:name="_Toc469776797"/>
      <w:bookmarkStart w:id="431" w:name="_Toc471812264"/>
      <w:bookmarkStart w:id="432" w:name="_Toc471818830"/>
      <w:bookmarkStart w:id="433" w:name="_Toc471826511"/>
      <w:bookmarkStart w:id="434" w:name="_Toc471828112"/>
      <w:bookmarkStart w:id="435" w:name="_Toc471829469"/>
      <w:bookmarkStart w:id="436" w:name="_Toc512241341"/>
      <w:r>
        <w:t xml:space="preserve">Kombination von rechtlicher Eindeutigkeit und </w:t>
      </w:r>
      <w:r w:rsidR="002A6DA5">
        <w:t>Betroffenenv</w:t>
      </w:r>
      <w:r w:rsidR="00FA117D">
        <w:t>erständlichkeit</w:t>
      </w:r>
      <w:bookmarkEnd w:id="430"/>
      <w:bookmarkEnd w:id="431"/>
      <w:bookmarkEnd w:id="432"/>
      <w:bookmarkEnd w:id="433"/>
      <w:bookmarkEnd w:id="434"/>
      <w:bookmarkEnd w:id="435"/>
      <w:bookmarkEnd w:id="436"/>
    </w:p>
    <w:p w14:paraId="49EB7E21" w14:textId="1F77067A" w:rsidR="00411972" w:rsidRPr="00411972" w:rsidRDefault="00411972" w:rsidP="00411972">
      <w:r>
        <w:t>Unabhängig davon, ob nun für eine Einwilli</w:t>
      </w:r>
      <w:r w:rsidR="00345CB0">
        <w:t>gung</w:t>
      </w:r>
      <w:r w:rsidR="000164C2">
        <w:t xml:space="preserve"> informiert wird, bei einer Direkterhebung unterrichtet, anschließend benach</w:t>
      </w:r>
      <w:r w:rsidR="001C45D7">
        <w:t>richtigt oder Auskunft gegeben wird, immer geht es darum, die rechtlichen Anforderungen mit einer adressatengerechten Formulierung zu kombinieren.</w:t>
      </w:r>
    </w:p>
    <w:p w14:paraId="06D67990" w14:textId="77777777" w:rsidR="00887027" w:rsidRDefault="00887027" w:rsidP="00DA086D">
      <w:pPr>
        <w:pStyle w:val="berschrift6"/>
      </w:pPr>
      <w:bookmarkStart w:id="437" w:name="_Toc469776798"/>
      <w:bookmarkStart w:id="438" w:name="_Toc471812265"/>
      <w:bookmarkStart w:id="439" w:name="_Toc471818831"/>
      <w:bookmarkStart w:id="440" w:name="_Toc471826512"/>
      <w:bookmarkStart w:id="441" w:name="_Toc471828113"/>
      <w:bookmarkStart w:id="442" w:name="_Toc471829470"/>
      <w:bookmarkStart w:id="443" w:name="_Toc512241342"/>
      <w:r>
        <w:t>Rechtliche Vorgaben</w:t>
      </w:r>
      <w:bookmarkEnd w:id="437"/>
      <w:bookmarkEnd w:id="438"/>
      <w:bookmarkEnd w:id="439"/>
      <w:bookmarkEnd w:id="440"/>
      <w:bookmarkEnd w:id="441"/>
      <w:bookmarkEnd w:id="442"/>
      <w:bookmarkEnd w:id="443"/>
    </w:p>
    <w:p w14:paraId="78D354F4" w14:textId="6FD9DEE9" w:rsidR="00773EA1" w:rsidRDefault="00773EA1" w:rsidP="00773EA1">
      <w:r>
        <w:t xml:space="preserve">Die </w:t>
      </w:r>
      <w:r w:rsidR="00411972">
        <w:t xml:space="preserve">allgemeinen </w:t>
      </w:r>
      <w:r>
        <w:t xml:space="preserve">Leitlinien zur Information und Kommunikation mit dem Betroffenen gibt Art. 12 DSGVO vor. </w:t>
      </w:r>
    </w:p>
    <w:p w14:paraId="5E6F0AF3" w14:textId="134EAAA7" w:rsidR="00773EA1" w:rsidRDefault="00773EA1" w:rsidP="00773EA1">
      <w:r w:rsidRPr="000938E3">
        <w:t>Informationen sind transparent, leicht zugänglich und verständlich zu gestalten.</w:t>
      </w:r>
      <w:r>
        <w:t xml:space="preserve"> Dabei </w:t>
      </w:r>
      <w:r w:rsidRPr="000938E3">
        <w:t>ist eine klare und einfache Sprache zu verwenden</w:t>
      </w:r>
      <w:r>
        <w:t xml:space="preserve">. Es </w:t>
      </w:r>
      <w:r w:rsidRPr="000938E3">
        <w:t>scheint</w:t>
      </w:r>
      <w:r>
        <w:t xml:space="preserve"> diesbezüglich sinnvoll</w:t>
      </w:r>
      <w:r w:rsidRPr="000938E3">
        <w:t xml:space="preserve">, sich </w:t>
      </w:r>
      <w:r w:rsidR="006F712A">
        <w:t>im Ausgangspunkt</w:t>
      </w:r>
      <w:r w:rsidRPr="000938E3">
        <w:t xml:space="preserve"> bei dieser Beurteilung am durchschnittlichen Betroffenen zu orientieren. G</w:t>
      </w:r>
      <w:r>
        <w:t>e</w:t>
      </w:r>
      <w:r w:rsidRPr="000938E3">
        <w:t>rade bei Internetangeboten mit multinationaler Zielgruppe wird man auch davon ausgehen müssen, dass die erhöhten Anforderungen an die Verständlichkeit nur durch eine Bereitstellung von Informationen in unterschiedlichen Sprachen erfüllt werden können.</w:t>
      </w:r>
      <w:r>
        <w:t xml:space="preserve"> Besonders betont werden diese Anforderungen noch einmal, wenn sich das Angebot an Kinder richtet. Eine </w:t>
      </w:r>
      <w:r>
        <w:lastRenderedPageBreak/>
        <w:t>kindgerechte und gleichzeitig rechtlich und technisch fundierte Kommunikation dürfte hier eine besondere Herausforderung darstellen.</w:t>
      </w:r>
    </w:p>
    <w:p w14:paraId="65040549" w14:textId="363BD0B8" w:rsidR="00773EA1" w:rsidRDefault="00773EA1" w:rsidP="00773EA1">
      <w:r w:rsidRPr="000938E3">
        <w:t xml:space="preserve">Umstritten scheint hier bisher noch zu sein, inwieweit dafür auch </w:t>
      </w:r>
      <w:r w:rsidR="00DD450B">
        <w:t>(</w:t>
      </w:r>
      <w:proofErr w:type="spellStart"/>
      <w:r w:rsidR="00DD450B">
        <w:t>programm</w:t>
      </w:r>
      <w:proofErr w:type="spellEnd"/>
      <w:proofErr w:type="gramStart"/>
      <w:r w:rsidR="00DD450B">
        <w:noBreakHyphen/>
        <w:t>)</w:t>
      </w:r>
      <w:r w:rsidRPr="000938E3">
        <w:t>technische</w:t>
      </w:r>
      <w:proofErr w:type="gramEnd"/>
      <w:r w:rsidRPr="000938E3">
        <w:t xml:space="preserve"> Vorgänge der Datenverarbeitung dem Betroffenen gegenüber </w:t>
      </w:r>
      <w:r w:rsidR="00DD450B">
        <w:t xml:space="preserve">in allen Einzelheiten </w:t>
      </w:r>
      <w:r w:rsidRPr="000938E3">
        <w:t>offengelegt werden müssen</w:t>
      </w:r>
      <w:r>
        <w:t xml:space="preserve"> </w:t>
      </w:r>
      <w:r w:rsidRPr="000938E3">
        <w:t>(so z</w:t>
      </w:r>
      <w:r>
        <w:t>.</w:t>
      </w:r>
      <w:r w:rsidRPr="000938E3">
        <w:t>B</w:t>
      </w:r>
      <w:r>
        <w:t xml:space="preserve">. </w:t>
      </w:r>
      <w:r w:rsidR="00C76645">
        <w:t xml:space="preserve">Art. 13 Abs. 2 </w:t>
      </w:r>
      <w:proofErr w:type="spellStart"/>
      <w:r w:rsidR="00C76645">
        <w:t>lit</w:t>
      </w:r>
      <w:proofErr w:type="spellEnd"/>
      <w:r w:rsidR="00C76645">
        <w:t xml:space="preserve">. f DSGVO u. Art. 14 Abs. 2 </w:t>
      </w:r>
      <w:proofErr w:type="spellStart"/>
      <w:r w:rsidR="00C76645">
        <w:t>lit</w:t>
      </w:r>
      <w:proofErr w:type="spellEnd"/>
      <w:r w:rsidR="00C76645">
        <w:t>. g DSGVO)</w:t>
      </w:r>
      <w:r w:rsidRPr="000938E3">
        <w:t xml:space="preserve"> zu automatisierten Einzelentscheidungen).</w:t>
      </w:r>
      <w:r w:rsidR="001B521A">
        <w:t xml:space="preserve"> </w:t>
      </w:r>
      <w:r w:rsidR="00B71B93">
        <w:t>Eine zu technische Beschreibung kann dem Ziel einer transparenten Kommunikation jedenfalls kaum gerecht werden.</w:t>
      </w:r>
    </w:p>
    <w:p w14:paraId="664BA8C5" w14:textId="719B3B6A" w:rsidR="00773EA1" w:rsidRDefault="00773EA1" w:rsidP="00773EA1">
      <w:r>
        <w:t xml:space="preserve">Auch zur Form der Mitteilung nimmt Art. 12 DSGVO Stellung. So kann die Mitteilung schriftlich, in anderer Form oder auch elektronisch, in Ausnahmefällen bei Zustimmung des Betroffenen sogar mündlich erfolgen. Hierbei ist aber zu beachten, dass der Betroffene seine Identität auf anderem Wege nachgewiesen haben muss. Verstanden wird diese Regelung als Eröffnung einer </w:t>
      </w:r>
      <w:proofErr w:type="spellStart"/>
      <w:r>
        <w:t>weitestgehenden</w:t>
      </w:r>
      <w:proofErr w:type="spellEnd"/>
      <w:r>
        <w:t xml:space="preserve"> Formfreiheit in diesem Bereich. Nach </w:t>
      </w:r>
      <w:proofErr w:type="spellStart"/>
      <w:r>
        <w:t>Erw</w:t>
      </w:r>
      <w:r w:rsidR="00B83D18">
        <w:t>Gr</w:t>
      </w:r>
      <w:proofErr w:type="spellEnd"/>
      <w:r w:rsidR="00B83D18">
        <w:t>.</w:t>
      </w:r>
      <w:r>
        <w:t xml:space="preserve"> 58 soll bei öffentlich zugänglichen Informationen die Bereitstellung auf einer Website</w:t>
      </w:r>
      <w:r w:rsidR="00A2483B">
        <w:t xml:space="preserve"> (s. dazu </w:t>
      </w:r>
      <w:r w:rsidR="00A2483B" w:rsidRPr="00E007F8">
        <w:t>III.1.b.)</w:t>
      </w:r>
      <w:r>
        <w:t xml:space="preserve"> genügen. Dies entspricht letztendlich dem </w:t>
      </w:r>
      <w:r w:rsidR="00334D04">
        <w:t>bereits</w:t>
      </w:r>
      <w:r>
        <w:t xml:space="preserve"> heute üblichen Vorgehen bei Datenschutzerklärungen.</w:t>
      </w:r>
    </w:p>
    <w:p w14:paraId="6F66CE02" w14:textId="1DD2285B" w:rsidR="009F7503" w:rsidRDefault="009F7503" w:rsidP="00B6745D">
      <w:pPr>
        <w:pStyle w:val="berschrift6"/>
      </w:pPr>
      <w:bookmarkStart w:id="444" w:name="_Toc471826513"/>
      <w:bookmarkStart w:id="445" w:name="_Toc471828114"/>
      <w:bookmarkStart w:id="446" w:name="_Toc471829471"/>
      <w:bookmarkStart w:id="447" w:name="_Toc512241343"/>
      <w:bookmarkStart w:id="448" w:name="_Toc471812266"/>
      <w:bookmarkStart w:id="449" w:name="_Toc471818832"/>
      <w:r>
        <w:t>Sanktionen</w:t>
      </w:r>
      <w:bookmarkEnd w:id="444"/>
      <w:bookmarkEnd w:id="445"/>
      <w:bookmarkEnd w:id="446"/>
      <w:bookmarkEnd w:id="447"/>
    </w:p>
    <w:p w14:paraId="3D4E2FE4" w14:textId="09156DB6" w:rsidR="009F7503" w:rsidRDefault="00B6745D">
      <w:r>
        <w:t>D</w:t>
      </w:r>
      <w:r w:rsidR="009F7503">
        <w:t xml:space="preserve">ie Nichteinhaltung der rechtlichen Vorgaben zur Kommunikation ist unter der DSGVO </w:t>
      </w:r>
      <w:proofErr w:type="spellStart"/>
      <w:r w:rsidR="009F7503">
        <w:t>sanktionierbar</w:t>
      </w:r>
      <w:proofErr w:type="spellEnd"/>
      <w:r w:rsidR="009F7503">
        <w:t xml:space="preserve">. </w:t>
      </w:r>
      <w:r w:rsidR="009F7503" w:rsidRPr="009F7503">
        <w:t>Es drohen für bestimmte Verstöße Bußgelder von bis zu 10 Millionen Euro oder bei Unternehmen bis 2% des weltweiten Jahresumsatzes (Art. 83 Abs. 4 DSGVO) oder für andere sogar bis zu 20 Millionen Euro oder 4% des Jahresumsatzes (Art. 83 Abs. 5 DSGVO).</w:t>
      </w:r>
      <w:r w:rsidR="009F7503">
        <w:t xml:space="preserve"> Nach Art. 8</w:t>
      </w:r>
      <w:r w:rsidR="001B521A">
        <w:t>3</w:t>
      </w:r>
      <w:r w:rsidR="009F7503">
        <w:t xml:space="preserve"> Abs. </w:t>
      </w:r>
      <w:r w:rsidR="001B521A">
        <w:t>7</w:t>
      </w:r>
      <w:r w:rsidR="009F7503">
        <w:t xml:space="preserve"> DSGVO sind ähnliche Regelungen nach nationalem Recht grundsätzlich auch für Behörden und öffentliche Stellen denkbar.</w:t>
      </w:r>
    </w:p>
    <w:p w14:paraId="01612A71" w14:textId="2CB806B2" w:rsidR="00B6745D" w:rsidRDefault="00E549B0">
      <w:r>
        <w:t>Di</w:t>
      </w:r>
      <w:r w:rsidR="009F7503">
        <w:t>e</w:t>
      </w:r>
      <w:r>
        <w:t xml:space="preserve"> Missachtung der</w:t>
      </w:r>
      <w:r w:rsidR="009F7503">
        <w:t xml:space="preserve"> allgemeinen Vorgaben für die Kommunikation aus Art. 12 DSGVO, sowie die spezielleren Vorgaben zur Information, Benachrichtigung und zu den einzelnen Rechten der Betroffenen</w:t>
      </w:r>
      <w:r w:rsidR="00D7584E">
        <w:t>, fallen</w:t>
      </w:r>
      <w:r>
        <w:t xml:space="preserve"> </w:t>
      </w:r>
      <w:r w:rsidR="009F7503">
        <w:t>in die letztere, teurere Kategorie.</w:t>
      </w:r>
    </w:p>
    <w:p w14:paraId="4D7E0650" w14:textId="792CBA93" w:rsidR="009F7503" w:rsidRDefault="009F7503">
      <w:r>
        <w:t>Die Nichterstellung eines Verfahrensverzeichnisses fällt</w:t>
      </w:r>
      <w:r w:rsidR="00E549B0">
        <w:t xml:space="preserve"> </w:t>
      </w:r>
      <w:r>
        <w:t xml:space="preserve">unter die Bußgeldandrohung des Art. 83 Abs. 4 DSGVO. Schon unter Geltung des BDSG ergaben Umfragen, dass einige Unternehmen ein solches Verzeichnis überhaupt nicht führten. Das Bußgeld sollte </w:t>
      </w:r>
      <w:r w:rsidR="00652049">
        <w:t>diesbezü</w:t>
      </w:r>
      <w:r w:rsidR="002D4981">
        <w:t>g</w:t>
      </w:r>
      <w:r w:rsidR="00652049">
        <w:t>lich,</w:t>
      </w:r>
      <w:r>
        <w:t xml:space="preserve"> neben den aufgezeigten weiteren Verwendungen in der Kommunikation</w:t>
      </w:r>
      <w:r w:rsidR="00652049">
        <w:t>,</w:t>
      </w:r>
      <w:r>
        <w:t xml:space="preserve"> ein zusätzlicher Anreiz sein.</w:t>
      </w:r>
    </w:p>
    <w:p w14:paraId="40EF3F61" w14:textId="171DBADC" w:rsidR="003C36F3" w:rsidRDefault="003C36F3" w:rsidP="00A65491">
      <w:r>
        <w:t xml:space="preserve">Die Einhaltung der Pflichten und insgesamt die Zusammenarbeit mit den Aufsichtsbehörden sind dabei Faktoren für die spätere Bußgeldbemessung. Schon anfänglich gelebte Transparenz und gute Kommunikationsstandards zahlen sich hier also im Falle einer Datenpanne durch ihre positive Berücksichtigung langfristig aus. Insbesondere ein Code </w:t>
      </w:r>
      <w:proofErr w:type="spellStart"/>
      <w:r>
        <w:t>of</w:t>
      </w:r>
      <w:proofErr w:type="spellEnd"/>
      <w:r>
        <w:t xml:space="preserve"> </w:t>
      </w:r>
      <w:proofErr w:type="spellStart"/>
      <w:r>
        <w:t>Conduct</w:t>
      </w:r>
      <w:proofErr w:type="spellEnd"/>
      <w:r>
        <w:t xml:space="preserve"> oder eine Zertifizierung ist hier geeignet das Bußgeld zu reduzieren. Ein frühes Bekenntnis zum Datenschutz kann der </w:t>
      </w:r>
      <w:r w:rsidR="00BF3791">
        <w:t>Verantwortlichen Stelle</w:t>
      </w:r>
      <w:r>
        <w:t xml:space="preserve"> hier also zum Vorteil gereichen.</w:t>
      </w:r>
    </w:p>
    <w:p w14:paraId="472A98A2" w14:textId="404DA896" w:rsidR="00EB6ADA" w:rsidRDefault="00623D8A" w:rsidP="00EB6ADA">
      <w:pPr>
        <w:pStyle w:val="berschrift6"/>
      </w:pPr>
      <w:bookmarkStart w:id="450" w:name="_Toc471826514"/>
      <w:bookmarkStart w:id="451" w:name="_Toc471828115"/>
      <w:bookmarkStart w:id="452" w:name="_Toc471829472"/>
      <w:bookmarkStart w:id="453" w:name="_Toc512241344"/>
      <w:r>
        <w:t>Darstellungsvarianten für die Betroffenen-Information</w:t>
      </w:r>
      <w:bookmarkEnd w:id="448"/>
      <w:bookmarkEnd w:id="449"/>
      <w:bookmarkEnd w:id="450"/>
      <w:bookmarkEnd w:id="451"/>
      <w:bookmarkEnd w:id="452"/>
      <w:bookmarkEnd w:id="453"/>
    </w:p>
    <w:p w14:paraId="4D760548" w14:textId="20B2B83E" w:rsidR="00EB6ADA" w:rsidRDefault="00EB6ADA" w:rsidP="008B462E">
      <w:pPr>
        <w:pStyle w:val="Schrifttum"/>
      </w:pPr>
      <w:r w:rsidRPr="00EB6ADA">
        <w:rPr>
          <w:i/>
        </w:rPr>
        <w:t>Nationaler IT Gipfel 2015</w:t>
      </w:r>
      <w:r>
        <w:t>, Datenschutzhinweise („</w:t>
      </w:r>
      <w:proofErr w:type="spellStart"/>
      <w:r>
        <w:t>One</w:t>
      </w:r>
      <w:proofErr w:type="spellEnd"/>
      <w:r>
        <w:t xml:space="preserve"> Pager“), verfügbar unter: </w:t>
      </w:r>
      <w:r w:rsidR="009D2B8C" w:rsidRPr="009D2B8C">
        <w:t>http://t1p.de/vph5</w:t>
      </w:r>
      <w:r w:rsidR="00EE270D">
        <w:t xml:space="preserve"> [BMJV, kostenfrei]</w:t>
      </w:r>
      <w:r w:rsidR="00086268">
        <w:t xml:space="preserve">; Erläuterungen dazu: </w:t>
      </w:r>
      <w:r w:rsidR="00086268" w:rsidRPr="00EE270D">
        <w:t>http://t1p.de/r98m</w:t>
      </w:r>
      <w:r w:rsidR="00086268">
        <w:t xml:space="preserve"> [BMJV, kostenfrei]</w:t>
      </w:r>
    </w:p>
    <w:p w14:paraId="0C2AA786" w14:textId="45FD7586" w:rsidR="00C02BF1" w:rsidRPr="00C02BF1" w:rsidRDefault="000D49E6" w:rsidP="003F0824">
      <w:pPr>
        <w:pStyle w:val="Schrifttum"/>
      </w:pPr>
      <w:r>
        <w:rPr>
          <w:i/>
        </w:rPr>
        <w:t>Artikel 29-</w:t>
      </w:r>
      <w:r w:rsidR="003F0824">
        <w:rPr>
          <w:i/>
        </w:rPr>
        <w:t xml:space="preserve">Gruppe, </w:t>
      </w:r>
      <w:r w:rsidR="003F0824" w:rsidRPr="00C02BF1">
        <w:t xml:space="preserve">Working Paper </w:t>
      </w:r>
      <w:r w:rsidR="00E35A9D">
        <w:t>(</w:t>
      </w:r>
      <w:r w:rsidR="003F0824" w:rsidRPr="00C02BF1">
        <w:t>WP</w:t>
      </w:r>
      <w:r w:rsidR="00E35A9D">
        <w:t xml:space="preserve">) </w:t>
      </w:r>
      <w:r w:rsidR="003F0824" w:rsidRPr="00C02BF1">
        <w:t>2</w:t>
      </w:r>
      <w:r w:rsidR="003F0824">
        <w:t>60</w:t>
      </w:r>
      <w:r w:rsidR="003F0824" w:rsidRPr="00C02BF1">
        <w:t xml:space="preserve"> </w:t>
      </w:r>
      <w:r w:rsidR="003F0824">
        <w:t xml:space="preserve">Guidelines on </w:t>
      </w:r>
      <w:proofErr w:type="spellStart"/>
      <w:r w:rsidR="003F0824">
        <w:t>transparency</w:t>
      </w:r>
      <w:proofErr w:type="spellEnd"/>
      <w:r w:rsidR="003F0824">
        <w:t xml:space="preserve"> </w:t>
      </w:r>
      <w:proofErr w:type="spellStart"/>
      <w:r w:rsidR="003F0824" w:rsidRPr="00C02BF1">
        <w:t>under</w:t>
      </w:r>
      <w:proofErr w:type="spellEnd"/>
      <w:r w:rsidR="003F0824" w:rsidRPr="00C02BF1">
        <w:t xml:space="preserve"> Regulation 2016/679, </w:t>
      </w:r>
      <w:r w:rsidR="003F0824" w:rsidRPr="003F0824">
        <w:t>http://t1p.de/us0z</w:t>
      </w:r>
      <w:r w:rsidR="003F0824">
        <w:t xml:space="preserve"> </w:t>
      </w:r>
      <w:r w:rsidR="003F0824" w:rsidRPr="00C02BF1">
        <w:t>[</w:t>
      </w:r>
      <w:r>
        <w:t>Artikel 29-</w:t>
      </w:r>
      <w:r w:rsidR="003F0824" w:rsidRPr="00C02BF1">
        <w:t xml:space="preserve">Gruppe, kostenfrei] </w:t>
      </w:r>
    </w:p>
    <w:p w14:paraId="1652B1E3" w14:textId="716584E8" w:rsidR="00C858D8" w:rsidRPr="00FC67B0" w:rsidRDefault="00C858D8" w:rsidP="008B462E">
      <w:pPr>
        <w:pStyle w:val="Schrifttum"/>
        <w:rPr>
          <w:lang w:val="en-US"/>
        </w:rPr>
      </w:pPr>
      <w:proofErr w:type="spellStart"/>
      <w:r w:rsidRPr="00FC67B0">
        <w:rPr>
          <w:i/>
          <w:lang w:val="en-US"/>
        </w:rPr>
        <w:t>Ermakova</w:t>
      </w:r>
      <w:proofErr w:type="spellEnd"/>
      <w:r w:rsidRPr="00FC67B0">
        <w:rPr>
          <w:i/>
          <w:lang w:val="en-US"/>
        </w:rPr>
        <w:t>/Baumann/Fabian/</w:t>
      </w:r>
      <w:proofErr w:type="spellStart"/>
      <w:r w:rsidRPr="00FC67B0">
        <w:rPr>
          <w:i/>
          <w:lang w:val="en-US"/>
        </w:rPr>
        <w:t>Krasnova</w:t>
      </w:r>
      <w:proofErr w:type="spellEnd"/>
      <w:r w:rsidR="00FC67B0">
        <w:rPr>
          <w:lang w:val="en-US"/>
        </w:rPr>
        <w:t>, Privacy Policies and Users’</w:t>
      </w:r>
      <w:r w:rsidRPr="00FC67B0">
        <w:rPr>
          <w:lang w:val="en-US"/>
        </w:rPr>
        <w:t xml:space="preserve"> Trust: Does Readability </w:t>
      </w:r>
      <w:proofErr w:type="gramStart"/>
      <w:r w:rsidRPr="00FC67B0">
        <w:rPr>
          <w:lang w:val="en-US"/>
        </w:rPr>
        <w:t>Matter?,</w:t>
      </w:r>
      <w:proofErr w:type="gramEnd"/>
      <w:r w:rsidRPr="00FC67B0">
        <w:rPr>
          <w:lang w:val="en-US"/>
        </w:rPr>
        <w:t xml:space="preserve"> AMCIS 2014; Sultan/Urban/Shankar/Bart, Are the Drivers and Role of Online Trust the Same for All Web Sites and Consumers?, 2002, </w:t>
      </w:r>
      <w:proofErr w:type="spellStart"/>
      <w:r w:rsidRPr="00FC67B0">
        <w:rPr>
          <w:lang w:val="en-US"/>
        </w:rPr>
        <w:t>abrufbar</w:t>
      </w:r>
      <w:proofErr w:type="spellEnd"/>
      <w:r w:rsidRPr="00FC67B0">
        <w:rPr>
          <w:lang w:val="en-US"/>
        </w:rPr>
        <w:t xml:space="preserve"> </w:t>
      </w:r>
      <w:proofErr w:type="spellStart"/>
      <w:r w:rsidRPr="00FC67B0">
        <w:rPr>
          <w:lang w:val="en-US"/>
        </w:rPr>
        <w:t>unter</w:t>
      </w:r>
      <w:proofErr w:type="spellEnd"/>
      <w:r w:rsidR="00E25DF0">
        <w:rPr>
          <w:lang w:val="en-US"/>
        </w:rPr>
        <w:t>:</w:t>
      </w:r>
      <w:r w:rsidR="00B6745D">
        <w:rPr>
          <w:lang w:val="en-US"/>
        </w:rPr>
        <w:t xml:space="preserve"> </w:t>
      </w:r>
      <w:r w:rsidRPr="00FC67B0">
        <w:rPr>
          <w:lang w:val="en-US"/>
        </w:rPr>
        <w:t>http://</w:t>
      </w:r>
      <w:r w:rsidR="00EE270D" w:rsidRPr="00EE270D">
        <w:rPr>
          <w:lang w:val="en-US"/>
        </w:rPr>
        <w:t>t1p.de/bu7h</w:t>
      </w:r>
      <w:r w:rsidR="00EE270D">
        <w:rPr>
          <w:lang w:val="en-US"/>
        </w:rPr>
        <w:t xml:space="preserve"> [SSRN, </w:t>
      </w:r>
      <w:proofErr w:type="spellStart"/>
      <w:r w:rsidR="00EE270D">
        <w:rPr>
          <w:lang w:val="en-US"/>
        </w:rPr>
        <w:t>kostenfrei</w:t>
      </w:r>
      <w:proofErr w:type="spellEnd"/>
      <w:r w:rsidR="00EE270D">
        <w:rPr>
          <w:lang w:val="en-US"/>
        </w:rPr>
        <w:t>]</w:t>
      </w:r>
    </w:p>
    <w:p w14:paraId="58B2334D" w14:textId="0007150A" w:rsidR="00C02BF1" w:rsidRPr="00C02BF1" w:rsidRDefault="00C858D8" w:rsidP="003050D7">
      <w:pPr>
        <w:pStyle w:val="Schrifttum"/>
        <w:rPr>
          <w:lang w:val="en-US"/>
        </w:rPr>
      </w:pPr>
      <w:proofErr w:type="spellStart"/>
      <w:r w:rsidRPr="00FC67B0">
        <w:rPr>
          <w:i/>
          <w:lang w:val="en-US"/>
        </w:rPr>
        <w:t>Ermakova</w:t>
      </w:r>
      <w:proofErr w:type="spellEnd"/>
      <w:r w:rsidRPr="00FC67B0">
        <w:rPr>
          <w:i/>
          <w:lang w:val="en-US"/>
        </w:rPr>
        <w:t>/Fabian/</w:t>
      </w:r>
      <w:proofErr w:type="spellStart"/>
      <w:r w:rsidRPr="00FC67B0">
        <w:rPr>
          <w:i/>
          <w:lang w:val="en-US"/>
        </w:rPr>
        <w:t>Babina</w:t>
      </w:r>
      <w:proofErr w:type="spellEnd"/>
      <w:r w:rsidRPr="00FC67B0">
        <w:rPr>
          <w:lang w:val="en-US"/>
        </w:rPr>
        <w:t>, Readability of Privacy Policies of Healthcare Websites, S. 2</w:t>
      </w:r>
      <w:r w:rsidR="00E25DF0">
        <w:rPr>
          <w:lang w:val="en-US"/>
        </w:rPr>
        <w:t>,</w:t>
      </w:r>
      <w:r w:rsidR="00EE270D">
        <w:rPr>
          <w:lang w:val="en-US"/>
        </w:rPr>
        <w:t xml:space="preserve"> </w:t>
      </w:r>
      <w:proofErr w:type="spellStart"/>
      <w:r w:rsidRPr="00FC67B0">
        <w:rPr>
          <w:lang w:val="en-US"/>
        </w:rPr>
        <w:t>abrufbar</w:t>
      </w:r>
      <w:proofErr w:type="spellEnd"/>
      <w:r w:rsidRPr="00FC67B0">
        <w:rPr>
          <w:lang w:val="en-US"/>
        </w:rPr>
        <w:t xml:space="preserve"> </w:t>
      </w:r>
      <w:proofErr w:type="spellStart"/>
      <w:r w:rsidRPr="00FC67B0">
        <w:rPr>
          <w:lang w:val="en-US"/>
        </w:rPr>
        <w:t>unter</w:t>
      </w:r>
      <w:proofErr w:type="spellEnd"/>
      <w:r w:rsidRPr="00FC67B0">
        <w:rPr>
          <w:lang w:val="en-US"/>
        </w:rPr>
        <w:t xml:space="preserve"> https://researchgate.net/publication/268981590</w:t>
      </w:r>
      <w:r w:rsidR="00EE270D">
        <w:rPr>
          <w:lang w:val="en-US"/>
        </w:rPr>
        <w:t xml:space="preserve"> [ResearchGate, </w:t>
      </w:r>
      <w:proofErr w:type="spellStart"/>
      <w:r w:rsidR="00EE270D">
        <w:rPr>
          <w:lang w:val="en-US"/>
        </w:rPr>
        <w:t>kostenfrei</w:t>
      </w:r>
      <w:proofErr w:type="spellEnd"/>
      <w:r w:rsidR="00EE270D">
        <w:rPr>
          <w:lang w:val="en-US"/>
        </w:rPr>
        <w:t>]</w:t>
      </w:r>
    </w:p>
    <w:p w14:paraId="015E4638" w14:textId="671E4430" w:rsidR="00E62D46" w:rsidRDefault="00643647" w:rsidP="00EB6ADA">
      <w:r>
        <w:lastRenderedPageBreak/>
        <w:t>Schon im Bereich des</w:t>
      </w:r>
      <w:r w:rsidR="00D75D12">
        <w:t xml:space="preserve"> (</w:t>
      </w:r>
      <w:r w:rsidR="00E35A9D">
        <w:t>bisherigen</w:t>
      </w:r>
      <w:r w:rsidR="00D75D12">
        <w:t>)</w:t>
      </w:r>
      <w:r>
        <w:t xml:space="preserve"> § 13 TMG </w:t>
      </w:r>
      <w:r w:rsidR="00207FB6">
        <w:t xml:space="preserve">gab </w:t>
      </w:r>
      <w:r>
        <w:t>es umfangreiche Bestrebungen</w:t>
      </w:r>
      <w:r w:rsidR="009D3532">
        <w:t>,</w:t>
      </w:r>
      <w:r>
        <w:t xml:space="preserve"> eine </w:t>
      </w:r>
      <w:r w:rsidR="00A418A1">
        <w:t>gegenüber</w:t>
      </w:r>
      <w:r>
        <w:t xml:space="preserve"> den </w:t>
      </w:r>
      <w:r w:rsidR="00A418A1">
        <w:t>Betroffenen</w:t>
      </w:r>
      <w:r>
        <w:t xml:space="preserve"> möglichst verständliche und transparente Kommunikation sicherzustellen. </w:t>
      </w:r>
    </w:p>
    <w:p w14:paraId="5CA95878" w14:textId="1F5F0BE3" w:rsidR="003050D7" w:rsidRDefault="00E62D46" w:rsidP="00EB6ADA">
      <w:r>
        <w:t>Die Art</w:t>
      </w:r>
      <w:r w:rsidR="004B5985">
        <w:t>ikel</w:t>
      </w:r>
      <w:r>
        <w:t xml:space="preserve"> 29-Gruppe betont in ihrem oben angeführten Working-Paper insbesondere sog. „</w:t>
      </w:r>
      <w:proofErr w:type="spellStart"/>
      <w:r>
        <w:t>layered</w:t>
      </w:r>
      <w:proofErr w:type="spellEnd"/>
      <w:r>
        <w:t xml:space="preserve"> </w:t>
      </w:r>
      <w:proofErr w:type="spellStart"/>
      <w:r>
        <w:t>privacy</w:t>
      </w:r>
      <w:proofErr w:type="spellEnd"/>
      <w:r>
        <w:t xml:space="preserve">-statements“. </w:t>
      </w:r>
      <w:r w:rsidR="003050D7">
        <w:t>Nur bestimmte Abschnitte und Zusammenfassungen bieten einen ersten Überblick und ein Klick auf die jeweiligen Bereiche ermöglicht dem Betroffenen eine weitere, detaillierte Information.</w:t>
      </w:r>
    </w:p>
    <w:p w14:paraId="79FA9FCE" w14:textId="4B989431" w:rsidR="00627D30" w:rsidRDefault="00643647" w:rsidP="00EB6ADA">
      <w:r>
        <w:t>Als gelungenes Beispiel zur Orientierung kann hier der vom Nationalen IT-Gipfel 2015 erarbeitete einseitige Datenschutzhinweis nebst Erläuterungen für den Ver</w:t>
      </w:r>
      <w:r w:rsidR="00D75D12">
        <w:t>arbeiter</w:t>
      </w:r>
      <w:r>
        <w:t xml:space="preserve"> angeführt werden. Zwar ersetzt auch dieses Dokument nicht vollständig die noch zusätzlich zu erstellende Datenschutzerklärung selb</w:t>
      </w:r>
      <w:r w:rsidR="00A6438F">
        <w:t>st</w:t>
      </w:r>
      <w:r>
        <w:t>, es fas</w:t>
      </w:r>
      <w:r w:rsidR="00B83D18">
        <w:t>s</w:t>
      </w:r>
      <w:r>
        <w:t xml:space="preserve">t diese aber übersichtlich und allgemeinverständlich zusammen. Insbesondere begrüßenswert bei diesem Ansatz ist der Abschnitt, der den </w:t>
      </w:r>
      <w:r w:rsidR="00F741BB">
        <w:t>Betroffenen</w:t>
      </w:r>
      <w:r>
        <w:t xml:space="preserve"> über seine Rechte bezüglich Auskunft, Löschung, Berechtigung und Widerspruch informiert</w:t>
      </w:r>
      <w:r w:rsidR="00D75D12">
        <w:t>, der nunmehr um die Rechte auf Datenübertragung sowie des Rechts auf Einschränkung der Verarbeitung ergänzt werden müsste</w:t>
      </w:r>
      <w:r>
        <w:t xml:space="preserve">. Das Fehlen der Informationen </w:t>
      </w:r>
      <w:r w:rsidR="00D75D12">
        <w:t>über Betroffenenrechte</w:t>
      </w:r>
      <w:r>
        <w:t xml:space="preserve"> stellte </w:t>
      </w:r>
      <w:r w:rsidR="00D75D12">
        <w:t>laut</w:t>
      </w:r>
      <w:r w:rsidR="00EA7F23">
        <w:t xml:space="preserve"> </w:t>
      </w:r>
      <w:r>
        <w:t>de</w:t>
      </w:r>
      <w:r w:rsidR="00D75D12">
        <w:t>r</w:t>
      </w:r>
      <w:r>
        <w:t xml:space="preserve"> Stiftung Warentest einen der am häufigsten festzustellenden M</w:t>
      </w:r>
      <w:r w:rsidR="00B83D18">
        <w:t>ä</w:t>
      </w:r>
      <w:r>
        <w:t>ngel dar</w:t>
      </w:r>
      <w:r w:rsidR="007709CB">
        <w:t xml:space="preserve"> (</w:t>
      </w:r>
      <w:proofErr w:type="spellStart"/>
      <w:r w:rsidR="007709CB" w:rsidRPr="007709CB">
        <w:t>test</w:t>
      </w:r>
      <w:proofErr w:type="spellEnd"/>
      <w:r w:rsidR="007709CB" w:rsidRPr="007709CB">
        <w:t xml:space="preserve"> 3/2016, S. 59–61</w:t>
      </w:r>
      <w:r w:rsidR="007709CB">
        <w:t>)</w:t>
      </w:r>
      <w:r>
        <w:t xml:space="preserve">, was im Hinblick auf </w:t>
      </w:r>
      <w:r w:rsidR="00477D73">
        <w:t xml:space="preserve">die oben angesprochenen Verpflichtungen hierzu aus Art. 13 Abs. 2 </w:t>
      </w:r>
      <w:proofErr w:type="spellStart"/>
      <w:r w:rsidR="00477D73">
        <w:t>lit</w:t>
      </w:r>
      <w:proofErr w:type="spellEnd"/>
      <w:r w:rsidR="00477D73">
        <w:t xml:space="preserve">. b und Art. 14 Abs. 2 </w:t>
      </w:r>
      <w:proofErr w:type="spellStart"/>
      <w:r w:rsidR="00477D73">
        <w:t>lit</w:t>
      </w:r>
      <w:proofErr w:type="spellEnd"/>
      <w:r w:rsidR="00477D73">
        <w:t xml:space="preserve">. c DSGVO </w:t>
      </w:r>
      <w:r>
        <w:t xml:space="preserve">zwingend zu ändern ist. </w:t>
      </w:r>
    </w:p>
    <w:p w14:paraId="25FA316B" w14:textId="37E13215" w:rsidR="00643647" w:rsidRDefault="00BC1D43" w:rsidP="00EB6ADA">
      <w:r>
        <w:t>Zu denken ist dabei auch an die Vermittlung von Informationen in Audioformaten für Menschen mit Sehbeeinträchtigung.</w:t>
      </w:r>
      <w:r w:rsidR="00835ABB">
        <w:t xml:space="preserve"> Je nach Art der Kommunikation sind für den speziellen Einsatzzweck auch neue Mittel der Information zu erwägen, da insbesondere bei „Internet </w:t>
      </w:r>
      <w:proofErr w:type="spellStart"/>
      <w:r w:rsidR="00835ABB">
        <w:t>of</w:t>
      </w:r>
      <w:proofErr w:type="spellEnd"/>
      <w:r w:rsidR="00835ABB">
        <w:t xml:space="preserve"> Things“-Anwendungen die Information durch einen Text häufig kaum umsetzbar erscheint (dazu die weiterhin geltende </w:t>
      </w:r>
      <w:r w:rsidR="000D49E6">
        <w:rPr>
          <w:i/>
        </w:rPr>
        <w:t>Artikel 29-</w:t>
      </w:r>
      <w:r w:rsidR="00835ABB" w:rsidRPr="00835ABB">
        <w:rPr>
          <w:i/>
        </w:rPr>
        <w:t>Gruppe</w:t>
      </w:r>
      <w:r w:rsidR="00835ABB">
        <w:t xml:space="preserve">, Opinion 8/2014, </w:t>
      </w:r>
      <w:r w:rsidR="00835ABB" w:rsidRPr="00835ABB">
        <w:t>http://t1p.de/6izs</w:t>
      </w:r>
      <w:r w:rsidR="00835ABB">
        <w:t>, kostenfrei).</w:t>
      </w:r>
    </w:p>
    <w:p w14:paraId="0D3DA487" w14:textId="164FC639" w:rsidR="00184C7B" w:rsidRDefault="00D03987" w:rsidP="00EB6ADA">
      <w:r>
        <w:t>Als angemessen kann sich dabei je nach Situation die Information auf Papier, der Telefon, durch QR-Codes, Audionachrichten, mündliche Erklärungen oder öffentlich sichtbare Kennzeichnung erweisen (s</w:t>
      </w:r>
      <w:r w:rsidR="00D50944">
        <w:t>.</w:t>
      </w:r>
      <w:r>
        <w:t xml:space="preserve"> für umfangreiche Praxisbeispiele </w:t>
      </w:r>
      <w:r w:rsidR="000D49E6">
        <w:t>Artikel 29-</w:t>
      </w:r>
      <w:r w:rsidRPr="00D03987">
        <w:t xml:space="preserve">Gruppe, Working Paper </w:t>
      </w:r>
      <w:r w:rsidR="00D50944">
        <w:t>(</w:t>
      </w:r>
      <w:r w:rsidRPr="00D03987">
        <w:t>WP</w:t>
      </w:r>
      <w:r w:rsidR="00D50944">
        <w:t xml:space="preserve">) </w:t>
      </w:r>
      <w:r w:rsidRPr="00D03987">
        <w:t>260</w:t>
      </w:r>
      <w:r w:rsidR="00D50944">
        <w:t>,</w:t>
      </w:r>
      <w:r w:rsidRPr="00D03987">
        <w:t xml:space="preserve"> Guidelines on </w:t>
      </w:r>
      <w:proofErr w:type="spellStart"/>
      <w:r w:rsidRPr="00D03987">
        <w:t>transparency</w:t>
      </w:r>
      <w:proofErr w:type="spellEnd"/>
      <w:r w:rsidRPr="00D03987">
        <w:t xml:space="preserve"> </w:t>
      </w:r>
      <w:proofErr w:type="spellStart"/>
      <w:r w:rsidRPr="00D03987">
        <w:t>under</w:t>
      </w:r>
      <w:proofErr w:type="spellEnd"/>
      <w:r w:rsidRPr="00D03987">
        <w:t xml:space="preserve"> Regulation 2016/679, </w:t>
      </w:r>
      <w:r>
        <w:t xml:space="preserve">S. 18 f. </w:t>
      </w:r>
      <w:r w:rsidR="00184C7B" w:rsidRPr="00184C7B">
        <w:t>http://t1p.de/mvet</w:t>
      </w:r>
      <w:r w:rsidR="00184C7B" w:rsidRPr="00184C7B" w:rsidDel="00184C7B">
        <w:t xml:space="preserve"> </w:t>
      </w:r>
      <w:r w:rsidRPr="00D03987">
        <w:t>kostenfrei</w:t>
      </w:r>
      <w:r>
        <w:t>).</w:t>
      </w:r>
      <w:r w:rsidR="00184C7B">
        <w:t xml:space="preserve"> Der einfache Zugang zu Informationen kann auch durch Popup-Fenster, Auflistung der wichtigsten Informationen im Rahmen von FAQ-Übersichten oder sogar durch den Einsatz interaktiver digitaler Dienste wie z</w:t>
      </w:r>
      <w:r w:rsidR="003F3535">
        <w:t>.</w:t>
      </w:r>
      <w:r w:rsidR="00184C7B">
        <w:t>B</w:t>
      </w:r>
      <w:r w:rsidR="003F3535">
        <w:t>.</w:t>
      </w:r>
      <w:r w:rsidR="00184C7B">
        <w:t xml:space="preserve"> </w:t>
      </w:r>
      <w:proofErr w:type="spellStart"/>
      <w:r w:rsidR="00184C7B">
        <w:t>Chatbots</w:t>
      </w:r>
      <w:proofErr w:type="spellEnd"/>
      <w:r w:rsidR="00184C7B">
        <w:t xml:space="preserve"> sichergestellt werden.</w:t>
      </w:r>
      <w:r w:rsidR="00184C7B" w:rsidRPr="00184C7B">
        <w:t xml:space="preserve"> </w:t>
      </w:r>
      <w:r w:rsidR="00184C7B">
        <w:t>Zudem sind (Kurz</w:t>
      </w:r>
      <w:proofErr w:type="gramStart"/>
      <w:r w:rsidR="00184C7B">
        <w:noBreakHyphen/>
        <w:t>)Videos</w:t>
      </w:r>
      <w:proofErr w:type="gramEnd"/>
      <w:r w:rsidR="00184C7B">
        <w:t xml:space="preserve"> denkbar, in denen der Verantwortliche die Gründe für eine (notwendige) Datenerhebung erklärt</w:t>
      </w:r>
    </w:p>
    <w:p w14:paraId="0A4693EA" w14:textId="12DF59B2" w:rsidR="00A56EBD" w:rsidRDefault="00643647" w:rsidP="00643647">
      <w:r>
        <w:t xml:space="preserve">Ein weiterer interessanter Kommunikationsansatz ist der sog. „Nutrition Label Approach“, der sich an den bekannten und im Grundsatz bewährten tabellarischen Angaben auf Nahrungsmitteln und ähnlichen Kennzeichnungen wie z.B. bei der Energieeffizienz von Elektrogeräten orientiert. Im Rahmen </w:t>
      </w:r>
      <w:r w:rsidR="00FA2C5A">
        <w:t>einer</w:t>
      </w:r>
      <w:r>
        <w:t xml:space="preserve"> Untersuchung </w:t>
      </w:r>
      <w:r w:rsidR="00FA2C5A">
        <w:t>zur</w:t>
      </w:r>
      <w:r>
        <w:t xml:space="preserve"> Wirksamkeit solcher Labels wurde auch eine grobe Klassifizierung der Gestaltungsformen solcher Erklärungen vorgenommen: </w:t>
      </w:r>
      <w:r w:rsidR="00692512">
        <w:t>Man kann</w:t>
      </w:r>
      <w:r>
        <w:t xml:space="preserve"> zwischen einer tabellarischen Darstellung, einer verkürzten tabellarischen Darstellung, einem </w:t>
      </w:r>
      <w:r w:rsidR="00D50944">
        <w:t>K</w:t>
      </w:r>
      <w:r>
        <w:t>urz-Text, einem vollständigen Fließtext sowie einer in tabellarische Blöcke aufgeteilten Textdarstellung</w:t>
      </w:r>
      <w:r w:rsidR="00692512">
        <w:t xml:space="preserve"> unterscheiden</w:t>
      </w:r>
      <w:r>
        <w:t xml:space="preserve">. Der oben angeführte </w:t>
      </w:r>
      <w:r w:rsidR="003F3535">
        <w:t>„</w:t>
      </w:r>
      <w:proofErr w:type="spellStart"/>
      <w:r w:rsidR="003F3535">
        <w:t>One</w:t>
      </w:r>
      <w:proofErr w:type="spellEnd"/>
      <w:r w:rsidR="003F3535">
        <w:t xml:space="preserve"> </w:t>
      </w:r>
      <w:r>
        <w:t>Pager</w:t>
      </w:r>
      <w:r w:rsidR="003F3535">
        <w:t>“</w:t>
      </w:r>
      <w:r>
        <w:t xml:space="preserve"> des IT-Gipfels ließe sich hier in die Kategorie der in tabellarische Blöcke aufgeteilten Textdarstellung einordnen.</w:t>
      </w:r>
      <w:r w:rsidR="00E03C2C">
        <w:t xml:space="preserve"> </w:t>
      </w:r>
    </w:p>
    <w:p w14:paraId="1D80CC85" w14:textId="77777777" w:rsidR="00A56EBD" w:rsidRDefault="00A56EBD">
      <w:pPr>
        <w:jc w:val="left"/>
      </w:pPr>
      <w:r>
        <w:br w:type="page"/>
      </w:r>
    </w:p>
    <w:p w14:paraId="7F12E4C5" w14:textId="77777777" w:rsidR="00643647" w:rsidRDefault="00643647" w:rsidP="00643647"/>
    <w:p w14:paraId="168790FA" w14:textId="0CE78AB8" w:rsidR="00DD1DF8" w:rsidRDefault="00DD1DF8" w:rsidP="003E22AA">
      <w:pPr>
        <w:rPr>
          <w:b/>
          <w:sz w:val="28"/>
          <w:szCs w:val="28"/>
          <w:lang w:eastAsia="en-US"/>
        </w:rPr>
      </w:pPr>
      <w:r w:rsidRPr="003E22AA">
        <w:rPr>
          <w:b/>
          <w:sz w:val="28"/>
          <w:szCs w:val="28"/>
          <w:lang w:eastAsia="en-US"/>
        </w:rPr>
        <w:t>Beispiel für eine tabellarische Darstellung</w:t>
      </w:r>
      <w:r w:rsidRPr="003E22AA">
        <w:rPr>
          <w:b/>
          <w:sz w:val="28"/>
          <w:szCs w:val="28"/>
          <w:vertAlign w:val="superscript"/>
          <w:lang w:eastAsia="en-US"/>
        </w:rPr>
        <w:footnoteReference w:id="2"/>
      </w:r>
      <w:r w:rsidRPr="003E22AA">
        <w:rPr>
          <w:b/>
          <w:sz w:val="28"/>
          <w:szCs w:val="28"/>
          <w:lang w:eastAsia="en-US"/>
        </w:rPr>
        <w:t xml:space="preserve"> </w:t>
      </w:r>
    </w:p>
    <w:p w14:paraId="54C71EAC" w14:textId="77777777" w:rsidR="00715F96" w:rsidRPr="003E22AA" w:rsidRDefault="00715F96" w:rsidP="003E22AA">
      <w:pPr>
        <w:rPr>
          <w:rFonts w:cs="Calibri"/>
          <w:b/>
          <w:sz w:val="28"/>
          <w:szCs w:val="28"/>
          <w:lang w:eastAsia="en-US"/>
        </w:rPr>
      </w:pPr>
    </w:p>
    <w:p w14:paraId="69D1792C" w14:textId="77777777" w:rsidR="00DD1DF8" w:rsidRPr="00715F96" w:rsidRDefault="00DD1DF8" w:rsidP="00715F96">
      <w:pPr>
        <w:rPr>
          <w:b/>
          <w:lang w:eastAsia="en-US"/>
        </w:rPr>
      </w:pPr>
      <w:r w:rsidRPr="00715F96">
        <w:rPr>
          <w:b/>
          <w:lang w:eastAsia="en-US"/>
        </w:rPr>
        <w:t>Unternehmensname</w:t>
      </w:r>
    </w:p>
    <w:tbl>
      <w:tblPr>
        <w:tblStyle w:val="Tabellenraster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4541"/>
      </w:tblGrid>
      <w:tr w:rsidR="00DD1DF8" w:rsidRPr="00DD1DF8" w14:paraId="048C012D" w14:textId="77777777" w:rsidTr="00DD1DF8">
        <w:tc>
          <w:tcPr>
            <w:tcW w:w="4583" w:type="dxa"/>
          </w:tcPr>
          <w:p w14:paraId="242274BA"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 xml:space="preserve">Name des Verantwortlichen </w:t>
            </w:r>
          </w:p>
          <w:p w14:paraId="58E4B65F"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Anschrift</w:t>
            </w:r>
          </w:p>
          <w:p w14:paraId="59353A32" w14:textId="77777777" w:rsidR="00DD1DF8" w:rsidRPr="00DD1DF8" w:rsidRDefault="00DD1DF8" w:rsidP="00DD1DF8">
            <w:pPr>
              <w:contextualSpacing/>
              <w:jc w:val="left"/>
              <w:rPr>
                <w:rFonts w:ascii="Calibri" w:hAnsi="Calibri" w:cs="Calibri"/>
                <w:kern w:val="0"/>
                <w:sz w:val="20"/>
                <w:szCs w:val="20"/>
              </w:rPr>
            </w:pPr>
            <w:r w:rsidRPr="00DD1DF8">
              <w:rPr>
                <w:rFonts w:ascii="Calibri" w:hAnsi="Calibri" w:cs="Calibri"/>
                <w:kern w:val="0"/>
                <w:sz w:val="20"/>
                <w:szCs w:val="20"/>
              </w:rPr>
              <w:t>Tel./Fax/Email</w:t>
            </w:r>
          </w:p>
        </w:tc>
        <w:tc>
          <w:tcPr>
            <w:tcW w:w="4583" w:type="dxa"/>
          </w:tcPr>
          <w:p w14:paraId="6A066847" w14:textId="77777777" w:rsidR="00DD1DF8" w:rsidRPr="00DD1DF8" w:rsidRDefault="00DD1DF8" w:rsidP="00DD1DF8">
            <w:pPr>
              <w:contextualSpacing/>
              <w:jc w:val="left"/>
              <w:rPr>
                <w:rFonts w:ascii="Calibri" w:hAnsi="Calibri" w:cs="Calibri"/>
                <w:i/>
                <w:kern w:val="0"/>
                <w:sz w:val="20"/>
                <w:szCs w:val="20"/>
              </w:rPr>
            </w:pPr>
            <w:proofErr w:type="spellStart"/>
            <w:r w:rsidRPr="00DD1DF8">
              <w:rPr>
                <w:rFonts w:ascii="Calibri" w:hAnsi="Calibri" w:cs="Calibri"/>
                <w:i/>
                <w:kern w:val="0"/>
                <w:sz w:val="20"/>
                <w:szCs w:val="20"/>
              </w:rPr>
              <w:t>betriebl</w:t>
            </w:r>
            <w:proofErr w:type="spellEnd"/>
            <w:r w:rsidRPr="00DD1DF8">
              <w:rPr>
                <w:rFonts w:ascii="Calibri" w:hAnsi="Calibri" w:cs="Calibri"/>
                <w:i/>
                <w:kern w:val="0"/>
                <w:sz w:val="20"/>
                <w:szCs w:val="20"/>
              </w:rPr>
              <w:t>. Datenschutzbeauftragte</w:t>
            </w:r>
          </w:p>
          <w:p w14:paraId="12DB5D03" w14:textId="77777777" w:rsidR="00DD1DF8" w:rsidRPr="00DD1DF8" w:rsidRDefault="00DD1DF8" w:rsidP="00DD1DF8">
            <w:pPr>
              <w:contextualSpacing/>
              <w:jc w:val="left"/>
              <w:rPr>
                <w:rFonts w:ascii="Calibri" w:hAnsi="Calibri" w:cs="Calibri"/>
                <w:i/>
                <w:kern w:val="0"/>
                <w:sz w:val="20"/>
                <w:szCs w:val="20"/>
              </w:rPr>
            </w:pPr>
            <w:r w:rsidRPr="00DD1DF8">
              <w:rPr>
                <w:rFonts w:ascii="Calibri" w:hAnsi="Calibri" w:cs="Calibri"/>
                <w:i/>
                <w:kern w:val="0"/>
                <w:sz w:val="20"/>
                <w:szCs w:val="20"/>
              </w:rPr>
              <w:t>Kontaktdaten</w:t>
            </w:r>
          </w:p>
        </w:tc>
      </w:tr>
    </w:tbl>
    <w:p w14:paraId="0A15E0F6" w14:textId="77777777" w:rsidR="00DD1DF8" w:rsidRPr="00DD1DF8" w:rsidRDefault="00DD1DF8" w:rsidP="00DD1DF8">
      <w:pPr>
        <w:spacing w:after="160"/>
        <w:contextualSpacing/>
        <w:jc w:val="left"/>
        <w:rPr>
          <w:rFonts w:ascii="Calibri" w:eastAsia="Calibri" w:hAnsi="Calibri" w:cs="Calibri"/>
          <w:b/>
          <w:kern w:val="0"/>
          <w:sz w:val="22"/>
          <w:szCs w:val="22"/>
          <w:lang w:eastAsia="en-US"/>
        </w:rPr>
      </w:pPr>
    </w:p>
    <w:tbl>
      <w:tblPr>
        <w:tblStyle w:val="Tabellenraster1"/>
        <w:tblW w:w="9180"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4A0" w:firstRow="1" w:lastRow="0" w:firstColumn="1" w:lastColumn="0" w:noHBand="0" w:noVBand="1"/>
      </w:tblPr>
      <w:tblGrid>
        <w:gridCol w:w="1951"/>
        <w:gridCol w:w="921"/>
        <w:gridCol w:w="1064"/>
        <w:gridCol w:w="1134"/>
        <w:gridCol w:w="992"/>
        <w:gridCol w:w="236"/>
        <w:gridCol w:w="1465"/>
        <w:gridCol w:w="1417"/>
      </w:tblGrid>
      <w:tr w:rsidR="00DD1DF8" w:rsidRPr="00DD1DF8" w14:paraId="4E90ADE1" w14:textId="77777777" w:rsidTr="00DD1DF8">
        <w:trPr>
          <w:trHeight w:val="920"/>
          <w:jc w:val="center"/>
        </w:trPr>
        <w:tc>
          <w:tcPr>
            <w:tcW w:w="1951" w:type="dxa"/>
            <w:tcBorders>
              <w:tl2br w:val="single" w:sz="24" w:space="0" w:color="FFFFFF"/>
            </w:tcBorders>
            <w:shd w:val="clear" w:color="auto" w:fill="ACB9CA"/>
          </w:tcPr>
          <w:p w14:paraId="0463E708" w14:textId="77777777" w:rsidR="00DD1DF8" w:rsidRPr="00DD1DF8" w:rsidRDefault="00DD1DF8" w:rsidP="00DD1DF8">
            <w:pPr>
              <w:jc w:val="right"/>
              <w:rPr>
                <w:rFonts w:ascii="Calibri" w:hAnsi="Calibri" w:cs="Calibri"/>
                <w:b/>
                <w:kern w:val="0"/>
                <w:sz w:val="20"/>
                <w:szCs w:val="20"/>
              </w:rPr>
            </w:pPr>
            <w:r w:rsidRPr="00DD1DF8">
              <w:rPr>
                <w:rFonts w:ascii="Calibri" w:hAnsi="Calibri" w:cs="Calibri"/>
                <w:b/>
                <w:kern w:val="0"/>
                <w:sz w:val="20"/>
                <w:szCs w:val="20"/>
              </w:rPr>
              <w:t>Wir verwenden die Daten…</w:t>
            </w:r>
          </w:p>
          <w:p w14:paraId="07A2D116" w14:textId="77777777" w:rsidR="00DD1DF8" w:rsidRPr="00DD1DF8" w:rsidRDefault="00DD1DF8" w:rsidP="00DD1DF8">
            <w:pPr>
              <w:jc w:val="left"/>
              <w:rPr>
                <w:rFonts w:ascii="Calibri" w:hAnsi="Calibri" w:cs="Calibri"/>
                <w:kern w:val="0"/>
                <w:sz w:val="20"/>
                <w:szCs w:val="20"/>
              </w:rPr>
            </w:pPr>
          </w:p>
          <w:p w14:paraId="0C3BEECB" w14:textId="77777777" w:rsidR="00DD1DF8" w:rsidRPr="00DD1DF8" w:rsidRDefault="00DD1DF8" w:rsidP="00DD1DF8">
            <w:pPr>
              <w:jc w:val="left"/>
              <w:rPr>
                <w:rFonts w:ascii="Calibri" w:hAnsi="Calibri" w:cs="Calibri"/>
                <w:kern w:val="0"/>
                <w:sz w:val="20"/>
                <w:szCs w:val="20"/>
              </w:rPr>
            </w:pPr>
          </w:p>
          <w:p w14:paraId="7244A541" w14:textId="77777777" w:rsidR="00DD1DF8" w:rsidRPr="00DD1DF8" w:rsidRDefault="00DD1DF8" w:rsidP="00DD1DF8">
            <w:pPr>
              <w:jc w:val="left"/>
              <w:rPr>
                <w:rFonts w:ascii="Calibri" w:hAnsi="Calibri" w:cs="Calibri"/>
                <w:b/>
                <w:kern w:val="0"/>
                <w:sz w:val="20"/>
                <w:szCs w:val="20"/>
              </w:rPr>
            </w:pPr>
            <w:r w:rsidRPr="00DD1DF8">
              <w:rPr>
                <w:rFonts w:ascii="Calibri" w:hAnsi="Calibri" w:cs="Calibri"/>
                <w:b/>
                <w:kern w:val="0"/>
                <w:sz w:val="20"/>
                <w:szCs w:val="20"/>
              </w:rPr>
              <w:t>Erfasste Daten</w:t>
            </w:r>
          </w:p>
        </w:tc>
        <w:tc>
          <w:tcPr>
            <w:tcW w:w="921" w:type="dxa"/>
            <w:shd w:val="clear" w:color="auto" w:fill="ACB9CA"/>
          </w:tcPr>
          <w:p w14:paraId="4E84A1B4" w14:textId="3CAB4B3C" w:rsidR="00DD1DF8" w:rsidRPr="00DD1DF8" w:rsidRDefault="00EA7F23" w:rsidP="00DD1DF8">
            <w:pPr>
              <w:jc w:val="center"/>
              <w:rPr>
                <w:rFonts w:ascii="Calibri" w:hAnsi="Calibri" w:cs="Calibri"/>
                <w:kern w:val="0"/>
                <w:sz w:val="14"/>
                <w:szCs w:val="14"/>
              </w:rPr>
            </w:pPr>
            <w:r>
              <w:rPr>
                <w:rFonts w:ascii="Calibri" w:hAnsi="Calibri" w:cs="Calibri"/>
                <w:kern w:val="0"/>
                <w:sz w:val="14"/>
                <w:szCs w:val="14"/>
              </w:rPr>
              <w:t>…</w:t>
            </w:r>
            <w:r w:rsidR="00DD1DF8" w:rsidRPr="00DD1DF8">
              <w:rPr>
                <w:rFonts w:ascii="Calibri" w:hAnsi="Calibri" w:cs="Calibri"/>
                <w:kern w:val="0"/>
                <w:sz w:val="14"/>
                <w:szCs w:val="14"/>
              </w:rPr>
              <w:t>zur Nutzung unserer Dienste und der Website</w:t>
            </w:r>
          </w:p>
        </w:tc>
        <w:tc>
          <w:tcPr>
            <w:tcW w:w="1064" w:type="dxa"/>
            <w:shd w:val="clear" w:color="auto" w:fill="ACB9CA"/>
          </w:tcPr>
          <w:p w14:paraId="513C503B"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…für Werbezwecke</w:t>
            </w:r>
          </w:p>
        </w:tc>
        <w:tc>
          <w:tcPr>
            <w:tcW w:w="1134" w:type="dxa"/>
            <w:shd w:val="clear" w:color="auto" w:fill="ACB9CA"/>
          </w:tcPr>
          <w:p w14:paraId="11DEB91C"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…für Telemarketing</w:t>
            </w:r>
          </w:p>
        </w:tc>
        <w:tc>
          <w:tcPr>
            <w:tcW w:w="992" w:type="dxa"/>
            <w:shd w:val="clear" w:color="auto" w:fill="ACB9CA"/>
          </w:tcPr>
          <w:p w14:paraId="28701A33"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 xml:space="preserve">…für </w:t>
            </w:r>
            <w:proofErr w:type="spellStart"/>
            <w:r w:rsidRPr="00DD1DF8">
              <w:rPr>
                <w:rFonts w:ascii="Calibri" w:hAnsi="Calibri" w:cs="Calibri"/>
                <w:kern w:val="0"/>
                <w:sz w:val="14"/>
                <w:szCs w:val="14"/>
              </w:rPr>
              <w:t>Profiling</w:t>
            </w:r>
            <w:proofErr w:type="spellEnd"/>
          </w:p>
        </w:tc>
        <w:tc>
          <w:tcPr>
            <w:tcW w:w="236" w:type="dxa"/>
            <w:vMerge w:val="restart"/>
            <w:shd w:val="clear" w:color="auto" w:fill="FFFFFF"/>
          </w:tcPr>
          <w:p w14:paraId="6FA9E4C0" w14:textId="77777777" w:rsidR="00DD1DF8" w:rsidRPr="00DD1DF8" w:rsidRDefault="00DD1DF8" w:rsidP="00DD1DF8">
            <w:pPr>
              <w:jc w:val="center"/>
              <w:rPr>
                <w:rFonts w:ascii="Calibri" w:hAnsi="Calibri" w:cs="Calibri"/>
                <w:kern w:val="0"/>
                <w:sz w:val="14"/>
                <w:szCs w:val="14"/>
              </w:rPr>
            </w:pPr>
          </w:p>
        </w:tc>
        <w:tc>
          <w:tcPr>
            <w:tcW w:w="1465" w:type="dxa"/>
            <w:shd w:val="clear" w:color="auto" w:fill="ACB9CA"/>
          </w:tcPr>
          <w:p w14:paraId="63B98BDD"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…zur Weitergabe an andere Unternehmen</w:t>
            </w:r>
          </w:p>
        </w:tc>
        <w:tc>
          <w:tcPr>
            <w:tcW w:w="1417" w:type="dxa"/>
            <w:shd w:val="clear" w:color="auto" w:fill="ACB9CA"/>
          </w:tcPr>
          <w:p w14:paraId="60378FB3" w14:textId="77777777" w:rsidR="00DD1DF8" w:rsidRPr="00DD1DF8" w:rsidRDefault="00DD1DF8" w:rsidP="00DD1DF8">
            <w:pPr>
              <w:jc w:val="center"/>
              <w:rPr>
                <w:rFonts w:ascii="Calibri" w:hAnsi="Calibri" w:cs="Calibri"/>
                <w:kern w:val="0"/>
                <w:sz w:val="14"/>
                <w:szCs w:val="14"/>
              </w:rPr>
            </w:pPr>
            <w:r w:rsidRPr="00DD1DF8">
              <w:rPr>
                <w:rFonts w:ascii="Calibri" w:hAnsi="Calibri" w:cs="Calibri"/>
                <w:kern w:val="0"/>
                <w:sz w:val="14"/>
                <w:szCs w:val="14"/>
              </w:rPr>
              <w:t>…zur Weitergabe an öffentliche Stellen</w:t>
            </w:r>
          </w:p>
        </w:tc>
      </w:tr>
      <w:tr w:rsidR="00DD1DF8" w:rsidRPr="00DD1DF8" w14:paraId="1D47AB41" w14:textId="77777777" w:rsidTr="00DD1DF8">
        <w:trPr>
          <w:trHeight w:val="680"/>
          <w:jc w:val="center"/>
        </w:trPr>
        <w:tc>
          <w:tcPr>
            <w:tcW w:w="1951" w:type="dxa"/>
            <w:shd w:val="clear" w:color="auto" w:fill="ACB9CA"/>
          </w:tcPr>
          <w:p w14:paraId="1F6B6123" w14:textId="77777777" w:rsidR="00DD1DF8" w:rsidRPr="00DD1DF8" w:rsidRDefault="00DD1DF8" w:rsidP="00DD1DF8">
            <w:pPr>
              <w:jc w:val="left"/>
              <w:rPr>
                <w:rFonts w:ascii="Calibri" w:hAnsi="Calibri" w:cs="Calibri"/>
                <w:b/>
                <w:kern w:val="0"/>
                <w:sz w:val="20"/>
                <w:szCs w:val="20"/>
              </w:rPr>
            </w:pPr>
            <w:r w:rsidRPr="00DD1DF8">
              <w:rPr>
                <w:rFonts w:ascii="Calibri" w:hAnsi="Calibri" w:cs="Calibri"/>
                <w:b/>
                <w:kern w:val="0"/>
                <w:sz w:val="20"/>
                <w:szCs w:val="20"/>
              </w:rPr>
              <w:t>Folgen der Nichtbereitstellung</w:t>
            </w:r>
          </w:p>
        </w:tc>
        <w:tc>
          <w:tcPr>
            <w:tcW w:w="921" w:type="dxa"/>
            <w:shd w:val="clear" w:color="auto" w:fill="FF0000"/>
            <w:vAlign w:val="center"/>
          </w:tcPr>
          <w:p w14:paraId="757A51BB"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Nutzung möglich</w:t>
            </w:r>
          </w:p>
        </w:tc>
        <w:tc>
          <w:tcPr>
            <w:tcW w:w="1064" w:type="dxa"/>
            <w:shd w:val="clear" w:color="auto" w:fill="FFFF00"/>
            <w:vAlign w:val="center"/>
          </w:tcPr>
          <w:p w14:paraId="709E60DA"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aktuellen Angebote</w:t>
            </w:r>
          </w:p>
        </w:tc>
        <w:tc>
          <w:tcPr>
            <w:tcW w:w="1134" w:type="dxa"/>
            <w:shd w:val="clear" w:color="auto" w:fill="D5DCE4"/>
            <w:vAlign w:val="center"/>
          </w:tcPr>
          <w:p w14:paraId="06F67705" w14:textId="77777777" w:rsidR="00DD1DF8" w:rsidRPr="00DD1DF8" w:rsidRDefault="00DD1DF8" w:rsidP="00DD1DF8">
            <w:pPr>
              <w:jc w:val="center"/>
              <w:rPr>
                <w:rFonts w:ascii="Calibri" w:hAnsi="Calibri" w:cs="Calibri"/>
                <w:b/>
                <w:kern w:val="0"/>
                <w:sz w:val="18"/>
                <w:szCs w:val="18"/>
              </w:rPr>
            </w:pPr>
          </w:p>
        </w:tc>
        <w:tc>
          <w:tcPr>
            <w:tcW w:w="992" w:type="dxa"/>
            <w:shd w:val="clear" w:color="auto" w:fill="FF0000"/>
            <w:vAlign w:val="center"/>
          </w:tcPr>
          <w:p w14:paraId="3840BCFB"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Nutzung möglich</w:t>
            </w:r>
          </w:p>
        </w:tc>
        <w:tc>
          <w:tcPr>
            <w:tcW w:w="236" w:type="dxa"/>
            <w:shd w:val="clear" w:color="auto" w:fill="FFFFFF"/>
            <w:vAlign w:val="center"/>
          </w:tcPr>
          <w:p w14:paraId="269EAB92" w14:textId="77777777" w:rsidR="00DD1DF8" w:rsidRPr="00DD1DF8" w:rsidRDefault="00DD1DF8" w:rsidP="00DD1DF8">
            <w:pPr>
              <w:jc w:val="center"/>
              <w:rPr>
                <w:rFonts w:ascii="Calibri" w:hAnsi="Calibri" w:cs="Calibri"/>
                <w:b/>
                <w:kern w:val="0"/>
                <w:sz w:val="20"/>
                <w:szCs w:val="20"/>
              </w:rPr>
            </w:pPr>
          </w:p>
        </w:tc>
        <w:tc>
          <w:tcPr>
            <w:tcW w:w="1465" w:type="dxa"/>
            <w:shd w:val="clear" w:color="auto" w:fill="FFFF00"/>
            <w:vAlign w:val="center"/>
          </w:tcPr>
          <w:p w14:paraId="3028D755" w14:textId="77777777" w:rsidR="00DD1DF8" w:rsidRPr="00DD1DF8" w:rsidRDefault="00DD1DF8" w:rsidP="00DD1DF8">
            <w:pPr>
              <w:jc w:val="center"/>
              <w:rPr>
                <w:rFonts w:ascii="Calibri" w:hAnsi="Calibri" w:cs="Calibri"/>
                <w:b/>
                <w:kern w:val="0"/>
                <w:sz w:val="18"/>
                <w:szCs w:val="18"/>
              </w:rPr>
            </w:pPr>
            <w:r w:rsidRPr="00DD1DF8">
              <w:rPr>
                <w:rFonts w:ascii="Calibri" w:hAnsi="Calibri" w:cs="Calibri"/>
                <w:b/>
                <w:kern w:val="0"/>
                <w:sz w:val="18"/>
                <w:szCs w:val="18"/>
              </w:rPr>
              <w:t>keine Partner- Angebote</w:t>
            </w:r>
          </w:p>
        </w:tc>
        <w:tc>
          <w:tcPr>
            <w:tcW w:w="1417" w:type="dxa"/>
            <w:shd w:val="clear" w:color="auto" w:fill="D5DCE4"/>
          </w:tcPr>
          <w:p w14:paraId="29D9A2CF" w14:textId="77777777" w:rsidR="00DD1DF8" w:rsidRPr="00DD1DF8" w:rsidRDefault="00DD1DF8" w:rsidP="00DD1DF8">
            <w:pPr>
              <w:rPr>
                <w:rFonts w:ascii="Calibri" w:hAnsi="Calibri" w:cs="Calibri"/>
                <w:b/>
                <w:kern w:val="0"/>
                <w:sz w:val="20"/>
                <w:szCs w:val="20"/>
              </w:rPr>
            </w:pPr>
          </w:p>
        </w:tc>
      </w:tr>
      <w:tr w:rsidR="00DD1DF8" w:rsidRPr="00DD1DF8" w14:paraId="4ABAB4CF" w14:textId="77777777" w:rsidTr="00DD1DF8">
        <w:trPr>
          <w:trHeight w:val="454"/>
          <w:jc w:val="center"/>
        </w:trPr>
        <w:tc>
          <w:tcPr>
            <w:tcW w:w="1951" w:type="dxa"/>
            <w:shd w:val="clear" w:color="auto" w:fill="ACB9CA"/>
          </w:tcPr>
          <w:p w14:paraId="61819E19"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Kontaktdaten</w:t>
            </w:r>
          </w:p>
          <w:p w14:paraId="449B1BD8"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0D88037D"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35FA99F8"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w:t>
            </w:r>
            <w:bookmarkStart w:id="454" w:name="_GoBack"/>
            <w:bookmarkEnd w:id="454"/>
            <w:r w:rsidRPr="00DD1DF8">
              <w:rPr>
                <w:rFonts w:ascii="Calibri" w:hAnsi="Calibri" w:cs="Calibri"/>
                <w:kern w:val="0"/>
                <w:sz w:val="20"/>
                <w:szCs w:val="20"/>
              </w:rPr>
              <w:t>t</w:t>
            </w:r>
            <w:proofErr w:type="spellEnd"/>
            <w:r w:rsidRPr="00DD1DF8">
              <w:rPr>
                <w:rFonts w:ascii="Calibri" w:hAnsi="Calibri" w:cs="Calibri"/>
                <w:kern w:val="0"/>
                <w:sz w:val="20"/>
                <w:szCs w:val="20"/>
              </w:rPr>
              <w:t>-in</w:t>
            </w:r>
          </w:p>
        </w:tc>
        <w:tc>
          <w:tcPr>
            <w:tcW w:w="1134" w:type="dxa"/>
            <w:shd w:val="clear" w:color="auto" w:fill="D5DCE4"/>
            <w:vAlign w:val="center"/>
          </w:tcPr>
          <w:p w14:paraId="69F1847A"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71741DCD"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0EA82761"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63FB68E9"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3EF4A715" w14:textId="77777777" w:rsidR="00DD1DF8" w:rsidRPr="00DD1DF8" w:rsidRDefault="00DD1DF8" w:rsidP="00DD1DF8">
            <w:pPr>
              <w:jc w:val="left"/>
              <w:rPr>
                <w:rFonts w:ascii="Calibri" w:hAnsi="Calibri" w:cs="Calibri"/>
                <w:kern w:val="0"/>
                <w:sz w:val="20"/>
                <w:szCs w:val="20"/>
              </w:rPr>
            </w:pPr>
          </w:p>
        </w:tc>
      </w:tr>
      <w:tr w:rsidR="00DD1DF8" w:rsidRPr="00DD1DF8" w14:paraId="1F00C5D4" w14:textId="77777777" w:rsidTr="00DD1DF8">
        <w:trPr>
          <w:trHeight w:val="454"/>
          <w:jc w:val="center"/>
        </w:trPr>
        <w:tc>
          <w:tcPr>
            <w:tcW w:w="1951" w:type="dxa"/>
            <w:shd w:val="clear" w:color="auto" w:fill="ACB9CA"/>
          </w:tcPr>
          <w:p w14:paraId="77B73D6A"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Cookies</w:t>
            </w:r>
          </w:p>
          <w:p w14:paraId="4BBC1201"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090B8C01"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1B06BB76"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6C526113"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2F63137C"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06EF4003"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23775CE7"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3533CB08" w14:textId="77777777" w:rsidR="00DD1DF8" w:rsidRPr="00DD1DF8" w:rsidRDefault="00DD1DF8" w:rsidP="00DD1DF8">
            <w:pPr>
              <w:jc w:val="left"/>
              <w:rPr>
                <w:rFonts w:ascii="Calibri" w:hAnsi="Calibri" w:cs="Calibri"/>
                <w:kern w:val="0"/>
                <w:sz w:val="20"/>
                <w:szCs w:val="20"/>
              </w:rPr>
            </w:pPr>
          </w:p>
        </w:tc>
      </w:tr>
      <w:tr w:rsidR="00DD1DF8" w:rsidRPr="00DD1DF8" w14:paraId="19990A3F" w14:textId="77777777" w:rsidTr="00DD1DF8">
        <w:trPr>
          <w:trHeight w:val="454"/>
          <w:jc w:val="center"/>
        </w:trPr>
        <w:tc>
          <w:tcPr>
            <w:tcW w:w="1951" w:type="dxa"/>
            <w:shd w:val="clear" w:color="auto" w:fill="ACB9CA"/>
          </w:tcPr>
          <w:p w14:paraId="7BB21A46"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Demographische Daten</w:t>
            </w:r>
          </w:p>
        </w:tc>
        <w:tc>
          <w:tcPr>
            <w:tcW w:w="921" w:type="dxa"/>
            <w:shd w:val="clear" w:color="auto" w:fill="FF0000"/>
            <w:vAlign w:val="center"/>
          </w:tcPr>
          <w:p w14:paraId="7AA6DB79"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6E3EAE76"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75B7C84B"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268BE6F3"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6027BBF0"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6F61C0D9"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14303CCC" w14:textId="77777777" w:rsidR="00DD1DF8" w:rsidRPr="00DD1DF8" w:rsidRDefault="00DD1DF8" w:rsidP="00DD1DF8">
            <w:pPr>
              <w:jc w:val="left"/>
              <w:rPr>
                <w:rFonts w:ascii="Calibri" w:hAnsi="Calibri" w:cs="Calibri"/>
                <w:kern w:val="0"/>
                <w:sz w:val="20"/>
                <w:szCs w:val="20"/>
              </w:rPr>
            </w:pPr>
          </w:p>
        </w:tc>
      </w:tr>
      <w:tr w:rsidR="00DD1DF8" w:rsidRPr="00DD1DF8" w14:paraId="5184D0C2" w14:textId="77777777" w:rsidTr="00DD1DF8">
        <w:trPr>
          <w:trHeight w:val="454"/>
          <w:jc w:val="center"/>
        </w:trPr>
        <w:tc>
          <w:tcPr>
            <w:tcW w:w="1951" w:type="dxa"/>
            <w:shd w:val="clear" w:color="auto" w:fill="ACB9CA"/>
          </w:tcPr>
          <w:p w14:paraId="1F2AC5D7"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Finanzdaten</w:t>
            </w:r>
          </w:p>
          <w:p w14:paraId="46F4905D"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2F530FA9"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208C9200"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4BC9C80A"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170C10C3"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44EBB63F"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21BB6B93"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2E1AB454" w14:textId="77777777" w:rsidR="00DD1DF8" w:rsidRPr="00DD1DF8" w:rsidRDefault="00DD1DF8" w:rsidP="00DD1DF8">
            <w:pPr>
              <w:jc w:val="left"/>
              <w:rPr>
                <w:rFonts w:ascii="Calibri" w:hAnsi="Calibri" w:cs="Calibri"/>
                <w:kern w:val="0"/>
                <w:sz w:val="20"/>
                <w:szCs w:val="20"/>
              </w:rPr>
            </w:pPr>
          </w:p>
        </w:tc>
      </w:tr>
      <w:tr w:rsidR="00DD1DF8" w:rsidRPr="00DD1DF8" w14:paraId="713C81F1" w14:textId="77777777" w:rsidTr="00DD1DF8">
        <w:trPr>
          <w:trHeight w:val="454"/>
          <w:jc w:val="center"/>
        </w:trPr>
        <w:tc>
          <w:tcPr>
            <w:tcW w:w="1951" w:type="dxa"/>
            <w:shd w:val="clear" w:color="auto" w:fill="ACB9CA"/>
          </w:tcPr>
          <w:p w14:paraId="6F497EEF"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Gesundheitsdaten</w:t>
            </w:r>
          </w:p>
          <w:p w14:paraId="71979C92"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605E6FB8"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21F0C83A"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2D3E1F81"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434B67D0"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3EDA6922"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5C001DA2"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0B7DB95B" w14:textId="77777777" w:rsidR="00DD1DF8" w:rsidRPr="00DD1DF8" w:rsidRDefault="00DD1DF8" w:rsidP="00DD1DF8">
            <w:pPr>
              <w:jc w:val="left"/>
              <w:rPr>
                <w:rFonts w:ascii="Calibri" w:hAnsi="Calibri" w:cs="Calibri"/>
                <w:kern w:val="0"/>
                <w:sz w:val="20"/>
                <w:szCs w:val="20"/>
              </w:rPr>
            </w:pPr>
          </w:p>
        </w:tc>
      </w:tr>
      <w:tr w:rsidR="00DD1DF8" w:rsidRPr="00DD1DF8" w14:paraId="2650DBD7" w14:textId="77777777" w:rsidTr="00DD1DF8">
        <w:trPr>
          <w:trHeight w:val="454"/>
          <w:jc w:val="center"/>
        </w:trPr>
        <w:tc>
          <w:tcPr>
            <w:tcW w:w="1951" w:type="dxa"/>
            <w:shd w:val="clear" w:color="auto" w:fill="ACB9CA"/>
          </w:tcPr>
          <w:p w14:paraId="3951E8FF"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Präferenzen</w:t>
            </w:r>
          </w:p>
          <w:p w14:paraId="16644E97"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2127A311"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08A77D19"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1C76EB38"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192A9398"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116CF64E"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1C31B7C6"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3A63EB91" w14:textId="77777777" w:rsidR="00DD1DF8" w:rsidRPr="00DD1DF8" w:rsidRDefault="00DD1DF8" w:rsidP="00DD1DF8">
            <w:pPr>
              <w:jc w:val="left"/>
              <w:rPr>
                <w:rFonts w:ascii="Calibri" w:hAnsi="Calibri" w:cs="Calibri"/>
                <w:kern w:val="0"/>
                <w:sz w:val="20"/>
                <w:szCs w:val="20"/>
              </w:rPr>
            </w:pPr>
          </w:p>
        </w:tc>
      </w:tr>
      <w:tr w:rsidR="00DD1DF8" w:rsidRPr="00DD1DF8" w14:paraId="6B8E5421" w14:textId="77777777" w:rsidTr="00DD1DF8">
        <w:trPr>
          <w:trHeight w:val="454"/>
          <w:jc w:val="center"/>
        </w:trPr>
        <w:tc>
          <w:tcPr>
            <w:tcW w:w="1951" w:type="dxa"/>
            <w:shd w:val="clear" w:color="auto" w:fill="ACB9CA"/>
          </w:tcPr>
          <w:p w14:paraId="070E897F"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Kaufinformationen</w:t>
            </w:r>
          </w:p>
          <w:p w14:paraId="53BD7E10" w14:textId="77777777" w:rsidR="00DD1DF8" w:rsidRPr="00DD1DF8" w:rsidRDefault="00DD1DF8" w:rsidP="00DD1DF8">
            <w:pPr>
              <w:jc w:val="left"/>
              <w:rPr>
                <w:rFonts w:ascii="Calibri" w:hAnsi="Calibri" w:cs="Calibri"/>
                <w:kern w:val="0"/>
                <w:sz w:val="20"/>
                <w:szCs w:val="20"/>
              </w:rPr>
            </w:pPr>
          </w:p>
        </w:tc>
        <w:tc>
          <w:tcPr>
            <w:tcW w:w="921" w:type="dxa"/>
            <w:shd w:val="clear" w:color="auto" w:fill="FF0000"/>
            <w:vAlign w:val="center"/>
          </w:tcPr>
          <w:p w14:paraId="279A1D1B"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5E5B60DC"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729FBFC5"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758CDF53"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38606F9C"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66A68245"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1CE07FAA" w14:textId="77777777" w:rsidR="00DD1DF8" w:rsidRPr="00DD1DF8" w:rsidRDefault="00DD1DF8" w:rsidP="00DD1DF8">
            <w:pPr>
              <w:jc w:val="left"/>
              <w:rPr>
                <w:rFonts w:ascii="Calibri" w:hAnsi="Calibri" w:cs="Calibri"/>
                <w:kern w:val="0"/>
                <w:sz w:val="20"/>
                <w:szCs w:val="20"/>
              </w:rPr>
            </w:pPr>
          </w:p>
        </w:tc>
      </w:tr>
      <w:tr w:rsidR="00DD1DF8" w:rsidRPr="00DD1DF8" w14:paraId="423F5790" w14:textId="77777777" w:rsidTr="00DD1DF8">
        <w:trPr>
          <w:trHeight w:val="454"/>
          <w:jc w:val="center"/>
        </w:trPr>
        <w:tc>
          <w:tcPr>
            <w:tcW w:w="1951" w:type="dxa"/>
            <w:shd w:val="clear" w:color="auto" w:fill="ACB9CA"/>
          </w:tcPr>
          <w:p w14:paraId="4E3E58BE"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Ausweisnummer</w:t>
            </w:r>
          </w:p>
          <w:p w14:paraId="48DF5A73"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3B9DB70F"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2C8486A7"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732E8417"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5A8E54E0"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215AEC38"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3824E7D3"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7ADE6E6D" w14:textId="77777777" w:rsidR="00DD1DF8" w:rsidRPr="00DD1DF8" w:rsidRDefault="00DD1DF8" w:rsidP="00DD1DF8">
            <w:pPr>
              <w:jc w:val="left"/>
              <w:rPr>
                <w:rFonts w:ascii="Calibri" w:hAnsi="Calibri" w:cs="Calibri"/>
                <w:kern w:val="0"/>
                <w:sz w:val="20"/>
                <w:szCs w:val="20"/>
              </w:rPr>
            </w:pPr>
          </w:p>
        </w:tc>
      </w:tr>
      <w:tr w:rsidR="00DD1DF8" w:rsidRPr="00DD1DF8" w14:paraId="5A637669" w14:textId="77777777" w:rsidTr="00DD1DF8">
        <w:trPr>
          <w:trHeight w:val="454"/>
          <w:jc w:val="center"/>
        </w:trPr>
        <w:tc>
          <w:tcPr>
            <w:tcW w:w="1951" w:type="dxa"/>
            <w:shd w:val="clear" w:color="auto" w:fill="ACB9CA"/>
          </w:tcPr>
          <w:p w14:paraId="130F14D8"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Aktivitäten auf unserer Web-Seite</w:t>
            </w:r>
          </w:p>
        </w:tc>
        <w:tc>
          <w:tcPr>
            <w:tcW w:w="921" w:type="dxa"/>
            <w:shd w:val="clear" w:color="auto" w:fill="FF0000"/>
            <w:vAlign w:val="center"/>
          </w:tcPr>
          <w:p w14:paraId="449F5AAA" w14:textId="77777777" w:rsidR="00DD1DF8" w:rsidRPr="00DD1DF8" w:rsidRDefault="00DD1DF8" w:rsidP="00DD1DF8">
            <w:pPr>
              <w:jc w:val="center"/>
              <w:rPr>
                <w:rFonts w:ascii="Calibri" w:hAnsi="Calibri" w:cs="Calibri"/>
                <w:kern w:val="0"/>
                <w:sz w:val="20"/>
                <w:szCs w:val="20"/>
              </w:rPr>
            </w:pPr>
          </w:p>
        </w:tc>
        <w:tc>
          <w:tcPr>
            <w:tcW w:w="1064" w:type="dxa"/>
            <w:shd w:val="clear" w:color="auto" w:fill="00B050"/>
            <w:vAlign w:val="center"/>
          </w:tcPr>
          <w:p w14:paraId="30660E71"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-in</w:t>
            </w:r>
          </w:p>
        </w:tc>
        <w:tc>
          <w:tcPr>
            <w:tcW w:w="1134" w:type="dxa"/>
            <w:shd w:val="clear" w:color="auto" w:fill="D5DCE4"/>
            <w:vAlign w:val="center"/>
          </w:tcPr>
          <w:p w14:paraId="5644C0FE" w14:textId="77777777" w:rsidR="00DD1DF8" w:rsidRPr="00DD1DF8" w:rsidRDefault="00DD1DF8" w:rsidP="00DD1DF8">
            <w:pPr>
              <w:jc w:val="center"/>
              <w:rPr>
                <w:rFonts w:ascii="Calibri" w:hAnsi="Calibri" w:cs="Calibri"/>
                <w:kern w:val="0"/>
                <w:sz w:val="20"/>
                <w:szCs w:val="20"/>
              </w:rPr>
            </w:pPr>
          </w:p>
        </w:tc>
        <w:tc>
          <w:tcPr>
            <w:tcW w:w="992" w:type="dxa"/>
            <w:shd w:val="clear" w:color="auto" w:fill="FF0000"/>
            <w:vAlign w:val="center"/>
          </w:tcPr>
          <w:p w14:paraId="26ACB61A"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4AD2D784" w14:textId="77777777" w:rsidR="00DD1DF8" w:rsidRPr="00DD1DF8" w:rsidRDefault="00DD1DF8" w:rsidP="00DD1DF8">
            <w:pPr>
              <w:jc w:val="center"/>
              <w:rPr>
                <w:rFonts w:ascii="Calibri" w:hAnsi="Calibri" w:cs="Calibri"/>
                <w:kern w:val="0"/>
                <w:sz w:val="20"/>
                <w:szCs w:val="20"/>
              </w:rPr>
            </w:pPr>
          </w:p>
        </w:tc>
        <w:tc>
          <w:tcPr>
            <w:tcW w:w="1465" w:type="dxa"/>
            <w:shd w:val="clear" w:color="auto" w:fill="FFFF00"/>
            <w:vAlign w:val="center"/>
          </w:tcPr>
          <w:p w14:paraId="15A2B527" w14:textId="77777777" w:rsidR="00DD1DF8" w:rsidRPr="00DD1DF8" w:rsidRDefault="00DD1DF8" w:rsidP="00DD1DF8">
            <w:pPr>
              <w:jc w:val="center"/>
              <w:rPr>
                <w:rFonts w:ascii="Calibri" w:hAnsi="Calibri" w:cs="Calibri"/>
                <w:kern w:val="0"/>
                <w:sz w:val="20"/>
                <w:szCs w:val="20"/>
              </w:rPr>
            </w:pPr>
            <w:proofErr w:type="spellStart"/>
            <w:r w:rsidRPr="00DD1DF8">
              <w:rPr>
                <w:rFonts w:ascii="Calibri" w:hAnsi="Calibri" w:cs="Calibri"/>
                <w:kern w:val="0"/>
                <w:sz w:val="20"/>
                <w:szCs w:val="20"/>
              </w:rPr>
              <w:t>Opt</w:t>
            </w:r>
            <w:proofErr w:type="spellEnd"/>
            <w:r w:rsidRPr="00DD1DF8">
              <w:rPr>
                <w:rFonts w:ascii="Calibri" w:hAnsi="Calibri" w:cs="Calibri"/>
                <w:kern w:val="0"/>
                <w:sz w:val="20"/>
                <w:szCs w:val="20"/>
              </w:rPr>
              <w:t>-out</w:t>
            </w:r>
          </w:p>
        </w:tc>
        <w:tc>
          <w:tcPr>
            <w:tcW w:w="1417" w:type="dxa"/>
            <w:shd w:val="clear" w:color="auto" w:fill="D5DCE4"/>
          </w:tcPr>
          <w:p w14:paraId="1E0C569D" w14:textId="77777777" w:rsidR="00DD1DF8" w:rsidRPr="00DD1DF8" w:rsidRDefault="00DD1DF8" w:rsidP="00DD1DF8">
            <w:pPr>
              <w:jc w:val="left"/>
              <w:rPr>
                <w:rFonts w:ascii="Calibri" w:hAnsi="Calibri" w:cs="Calibri"/>
                <w:kern w:val="0"/>
                <w:sz w:val="20"/>
                <w:szCs w:val="20"/>
              </w:rPr>
            </w:pPr>
          </w:p>
        </w:tc>
      </w:tr>
      <w:tr w:rsidR="00DD1DF8" w:rsidRPr="00DD1DF8" w14:paraId="0C64984E" w14:textId="77777777" w:rsidTr="00DD1DF8">
        <w:trPr>
          <w:trHeight w:val="454"/>
          <w:jc w:val="center"/>
        </w:trPr>
        <w:tc>
          <w:tcPr>
            <w:tcW w:w="1951" w:type="dxa"/>
            <w:shd w:val="clear" w:color="auto" w:fill="ACB9CA"/>
          </w:tcPr>
          <w:p w14:paraId="34C28EE2" w14:textId="77777777" w:rsidR="00DD1DF8" w:rsidRPr="00DD1DF8" w:rsidRDefault="00DD1DF8" w:rsidP="00DD1DF8">
            <w:pPr>
              <w:jc w:val="left"/>
              <w:rPr>
                <w:rFonts w:ascii="Calibri" w:hAnsi="Calibri" w:cs="Calibri"/>
                <w:kern w:val="0"/>
                <w:sz w:val="20"/>
                <w:szCs w:val="20"/>
              </w:rPr>
            </w:pPr>
            <w:r w:rsidRPr="00DD1DF8">
              <w:rPr>
                <w:rFonts w:ascii="Calibri" w:hAnsi="Calibri" w:cs="Calibri"/>
                <w:kern w:val="0"/>
                <w:sz w:val="20"/>
                <w:szCs w:val="20"/>
              </w:rPr>
              <w:t>Ihr Standort</w:t>
            </w:r>
          </w:p>
          <w:p w14:paraId="26F04DCB" w14:textId="77777777" w:rsidR="00DD1DF8" w:rsidRPr="00DD1DF8" w:rsidRDefault="00DD1DF8" w:rsidP="00DD1DF8">
            <w:pPr>
              <w:jc w:val="left"/>
              <w:rPr>
                <w:rFonts w:ascii="Calibri" w:hAnsi="Calibri" w:cs="Calibri"/>
                <w:kern w:val="0"/>
                <w:sz w:val="20"/>
                <w:szCs w:val="20"/>
              </w:rPr>
            </w:pPr>
          </w:p>
        </w:tc>
        <w:tc>
          <w:tcPr>
            <w:tcW w:w="921" w:type="dxa"/>
            <w:shd w:val="clear" w:color="auto" w:fill="D5DCE4"/>
            <w:vAlign w:val="center"/>
          </w:tcPr>
          <w:p w14:paraId="6BE5287B" w14:textId="77777777" w:rsidR="00DD1DF8" w:rsidRPr="00DD1DF8" w:rsidRDefault="00DD1DF8" w:rsidP="00DD1DF8">
            <w:pPr>
              <w:jc w:val="center"/>
              <w:rPr>
                <w:rFonts w:ascii="Calibri" w:hAnsi="Calibri" w:cs="Calibri"/>
                <w:kern w:val="0"/>
                <w:sz w:val="20"/>
                <w:szCs w:val="20"/>
              </w:rPr>
            </w:pPr>
          </w:p>
        </w:tc>
        <w:tc>
          <w:tcPr>
            <w:tcW w:w="1064" w:type="dxa"/>
            <w:shd w:val="clear" w:color="auto" w:fill="D5DCE4"/>
            <w:vAlign w:val="center"/>
          </w:tcPr>
          <w:p w14:paraId="514ED850" w14:textId="77777777" w:rsidR="00DD1DF8" w:rsidRPr="00DD1DF8" w:rsidRDefault="00DD1DF8" w:rsidP="00DD1DF8">
            <w:pPr>
              <w:jc w:val="center"/>
              <w:rPr>
                <w:rFonts w:ascii="Calibri" w:hAnsi="Calibri" w:cs="Calibri"/>
                <w:kern w:val="0"/>
                <w:sz w:val="20"/>
                <w:szCs w:val="20"/>
              </w:rPr>
            </w:pPr>
          </w:p>
        </w:tc>
        <w:tc>
          <w:tcPr>
            <w:tcW w:w="1134" w:type="dxa"/>
            <w:shd w:val="clear" w:color="auto" w:fill="D5DCE4"/>
            <w:vAlign w:val="center"/>
          </w:tcPr>
          <w:p w14:paraId="58CD68FA" w14:textId="77777777" w:rsidR="00DD1DF8" w:rsidRPr="00DD1DF8" w:rsidRDefault="00DD1DF8" w:rsidP="00DD1DF8">
            <w:pPr>
              <w:jc w:val="center"/>
              <w:rPr>
                <w:rFonts w:ascii="Calibri" w:hAnsi="Calibri" w:cs="Calibri"/>
                <w:kern w:val="0"/>
                <w:sz w:val="20"/>
                <w:szCs w:val="20"/>
              </w:rPr>
            </w:pPr>
          </w:p>
        </w:tc>
        <w:tc>
          <w:tcPr>
            <w:tcW w:w="992" w:type="dxa"/>
            <w:shd w:val="clear" w:color="auto" w:fill="D5DCE4"/>
            <w:vAlign w:val="center"/>
          </w:tcPr>
          <w:p w14:paraId="5B411895" w14:textId="77777777" w:rsidR="00DD1DF8" w:rsidRPr="00DD1DF8" w:rsidRDefault="00DD1DF8" w:rsidP="00DD1DF8">
            <w:pPr>
              <w:jc w:val="center"/>
              <w:rPr>
                <w:rFonts w:ascii="Calibri" w:hAnsi="Calibri" w:cs="Calibri"/>
                <w:kern w:val="0"/>
                <w:sz w:val="20"/>
                <w:szCs w:val="20"/>
              </w:rPr>
            </w:pPr>
          </w:p>
        </w:tc>
        <w:tc>
          <w:tcPr>
            <w:tcW w:w="236" w:type="dxa"/>
            <w:vMerge/>
            <w:shd w:val="clear" w:color="auto" w:fill="FFFFFF"/>
            <w:vAlign w:val="center"/>
          </w:tcPr>
          <w:p w14:paraId="6B58FD32" w14:textId="77777777" w:rsidR="00DD1DF8" w:rsidRPr="00DD1DF8" w:rsidRDefault="00DD1DF8" w:rsidP="00DD1DF8">
            <w:pPr>
              <w:jc w:val="center"/>
              <w:rPr>
                <w:rFonts w:ascii="Calibri" w:hAnsi="Calibri" w:cs="Calibri"/>
                <w:kern w:val="0"/>
                <w:sz w:val="20"/>
                <w:szCs w:val="20"/>
              </w:rPr>
            </w:pPr>
          </w:p>
        </w:tc>
        <w:tc>
          <w:tcPr>
            <w:tcW w:w="1465" w:type="dxa"/>
            <w:shd w:val="clear" w:color="auto" w:fill="D5DCE4"/>
            <w:vAlign w:val="center"/>
          </w:tcPr>
          <w:p w14:paraId="4FF644AD" w14:textId="77777777" w:rsidR="00DD1DF8" w:rsidRPr="00DD1DF8" w:rsidRDefault="00DD1DF8" w:rsidP="00DD1DF8">
            <w:pPr>
              <w:jc w:val="center"/>
              <w:rPr>
                <w:rFonts w:ascii="Calibri" w:hAnsi="Calibri" w:cs="Calibri"/>
                <w:kern w:val="0"/>
                <w:sz w:val="20"/>
                <w:szCs w:val="20"/>
              </w:rPr>
            </w:pPr>
          </w:p>
        </w:tc>
        <w:tc>
          <w:tcPr>
            <w:tcW w:w="1417" w:type="dxa"/>
            <w:shd w:val="clear" w:color="auto" w:fill="D5DCE4"/>
          </w:tcPr>
          <w:p w14:paraId="35B56EB3" w14:textId="77777777" w:rsidR="00DD1DF8" w:rsidRPr="00DD1DF8" w:rsidRDefault="00DD1DF8" w:rsidP="00DD1DF8">
            <w:pPr>
              <w:jc w:val="left"/>
              <w:rPr>
                <w:rFonts w:ascii="Calibri" w:hAnsi="Calibri" w:cs="Calibri"/>
                <w:kern w:val="0"/>
                <w:sz w:val="20"/>
                <w:szCs w:val="20"/>
              </w:rPr>
            </w:pPr>
          </w:p>
        </w:tc>
      </w:tr>
    </w:tbl>
    <w:p w14:paraId="0A33A28F" w14:textId="77777777" w:rsidR="00DD1DF8" w:rsidRPr="00DD1DF8" w:rsidRDefault="00DD1DF8" w:rsidP="00DD1DF8">
      <w:pPr>
        <w:jc w:val="left"/>
        <w:rPr>
          <w:rFonts w:ascii="Calibri" w:eastAsia="Calibri" w:hAnsi="Calibri" w:cs="Calibri"/>
          <w:b/>
          <w:kern w:val="0"/>
          <w:sz w:val="22"/>
          <w:szCs w:val="22"/>
          <w:lang w:eastAsia="en-US"/>
        </w:rPr>
      </w:pPr>
      <w:r w:rsidRPr="00DD1DF8">
        <w:rPr>
          <w:rFonts w:ascii="Calibri" w:eastAsia="Calibri" w:hAnsi="Calibri" w:cs="Calibri"/>
          <w:b/>
          <w:kern w:val="0"/>
          <w:sz w:val="22"/>
          <w:szCs w:val="22"/>
          <w:lang w:eastAsia="en-US"/>
        </w:rPr>
        <w:t>In Zusammenhang mit der Datenverarbeitung stehen Ihnen umfangreiche gesetzliche Rechte zu:</w:t>
      </w:r>
    </w:p>
    <w:tbl>
      <w:tblPr>
        <w:tblStyle w:val="Tabellenraster1"/>
        <w:tblW w:w="0" w:type="auto"/>
        <w:tblLook w:val="04A0" w:firstRow="1" w:lastRow="0" w:firstColumn="1" w:lastColumn="0" w:noHBand="0" w:noVBand="1"/>
      </w:tblPr>
      <w:tblGrid>
        <w:gridCol w:w="1713"/>
        <w:gridCol w:w="1722"/>
        <w:gridCol w:w="1805"/>
        <w:gridCol w:w="2097"/>
        <w:gridCol w:w="1725"/>
      </w:tblGrid>
      <w:tr w:rsidR="00DD1DF8" w:rsidRPr="00DD1DF8" w14:paraId="151E1DBD" w14:textId="77777777" w:rsidTr="00DD1DF8">
        <w:tc>
          <w:tcPr>
            <w:tcW w:w="1770" w:type="dxa"/>
            <w:tcBorders>
              <w:bottom w:val="single" w:sz="4" w:space="0" w:color="auto"/>
            </w:tcBorders>
          </w:tcPr>
          <w:p w14:paraId="79F00098"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Widerruf der Einwilligung</w:t>
            </w:r>
          </w:p>
        </w:tc>
        <w:tc>
          <w:tcPr>
            <w:tcW w:w="1772" w:type="dxa"/>
          </w:tcPr>
          <w:p w14:paraId="0753AD5A"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Berichtigung</w:t>
            </w:r>
          </w:p>
        </w:tc>
        <w:tc>
          <w:tcPr>
            <w:tcW w:w="1819" w:type="dxa"/>
          </w:tcPr>
          <w:p w14:paraId="302DF8FD"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Löschung</w:t>
            </w:r>
          </w:p>
        </w:tc>
        <w:tc>
          <w:tcPr>
            <w:tcW w:w="2105" w:type="dxa"/>
          </w:tcPr>
          <w:p w14:paraId="6EB5CA97"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Anspruch auf Einschränkung der Verarbeitung</w:t>
            </w:r>
          </w:p>
        </w:tc>
        <w:tc>
          <w:tcPr>
            <w:tcW w:w="1776" w:type="dxa"/>
          </w:tcPr>
          <w:p w14:paraId="4F29E409"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Widerspruch</w:t>
            </w:r>
          </w:p>
        </w:tc>
      </w:tr>
      <w:tr w:rsidR="00DD1DF8" w:rsidRPr="00DD1DF8" w14:paraId="510C07AC" w14:textId="77777777" w:rsidTr="00DD1DF8">
        <w:trPr>
          <w:gridAfter w:val="1"/>
          <w:wAfter w:w="1776" w:type="dxa"/>
          <w:trHeight w:val="525"/>
        </w:trPr>
        <w:tc>
          <w:tcPr>
            <w:tcW w:w="1770" w:type="dxa"/>
            <w:tcBorders>
              <w:top w:val="single" w:sz="4" w:space="0" w:color="auto"/>
              <w:left w:val="nil"/>
              <w:bottom w:val="nil"/>
            </w:tcBorders>
          </w:tcPr>
          <w:p w14:paraId="3F67A7CA" w14:textId="77777777" w:rsidR="00DD1DF8" w:rsidRPr="00DD1DF8" w:rsidRDefault="00DD1DF8" w:rsidP="00DD1DF8">
            <w:pPr>
              <w:jc w:val="center"/>
              <w:rPr>
                <w:rFonts w:ascii="Calibri" w:hAnsi="Calibri" w:cs="Calibri"/>
                <w:b/>
                <w:kern w:val="0"/>
                <w:sz w:val="20"/>
                <w:szCs w:val="20"/>
              </w:rPr>
            </w:pPr>
          </w:p>
        </w:tc>
        <w:tc>
          <w:tcPr>
            <w:tcW w:w="1772" w:type="dxa"/>
          </w:tcPr>
          <w:p w14:paraId="069CB8D8"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Auskunft über gespeicherte Daten</w:t>
            </w:r>
          </w:p>
        </w:tc>
        <w:tc>
          <w:tcPr>
            <w:tcW w:w="1819" w:type="dxa"/>
          </w:tcPr>
          <w:p w14:paraId="456BDC62"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Beschwerderecht bei der Aufsichtsbehörde</w:t>
            </w:r>
          </w:p>
        </w:tc>
        <w:tc>
          <w:tcPr>
            <w:tcW w:w="2105" w:type="dxa"/>
          </w:tcPr>
          <w:p w14:paraId="55F271FE" w14:textId="77777777" w:rsidR="00DD1DF8" w:rsidRPr="00DD1DF8" w:rsidRDefault="00DD1DF8" w:rsidP="00DD1DF8">
            <w:pPr>
              <w:jc w:val="center"/>
              <w:rPr>
                <w:rFonts w:ascii="Calibri" w:hAnsi="Calibri" w:cs="Calibri"/>
                <w:b/>
                <w:kern w:val="0"/>
                <w:sz w:val="20"/>
                <w:szCs w:val="20"/>
              </w:rPr>
            </w:pPr>
            <w:r w:rsidRPr="00DD1DF8">
              <w:rPr>
                <w:rFonts w:ascii="Calibri" w:hAnsi="Calibri" w:cs="Calibri"/>
                <w:b/>
                <w:kern w:val="0"/>
                <w:sz w:val="20"/>
                <w:szCs w:val="20"/>
              </w:rPr>
              <w:t>Recht auf Datenübertragbarkeit</w:t>
            </w:r>
          </w:p>
        </w:tc>
      </w:tr>
    </w:tbl>
    <w:p w14:paraId="558F28A0" w14:textId="77777777" w:rsidR="00DD1DF8" w:rsidRPr="00DD1DF8" w:rsidRDefault="00DD1DF8" w:rsidP="00DD1DF8">
      <w:pPr>
        <w:jc w:val="center"/>
        <w:rPr>
          <w:rFonts w:ascii="Calibri" w:eastAsia="Calibri" w:hAnsi="Calibri" w:cs="Calibri"/>
          <w:i/>
          <w:kern w:val="0"/>
          <w:sz w:val="22"/>
          <w:szCs w:val="22"/>
          <w:lang w:eastAsia="en-US"/>
        </w:rPr>
      </w:pPr>
    </w:p>
    <w:p w14:paraId="7016657A" w14:textId="27209441" w:rsidR="00DD1DF8" w:rsidRPr="00DD1DF8" w:rsidRDefault="00DD1DF8" w:rsidP="00DD1DF8">
      <w:pPr>
        <w:jc w:val="left"/>
        <w:rPr>
          <w:rFonts w:ascii="Calibri" w:eastAsia="Calibri" w:hAnsi="Calibri" w:cs="Calibri"/>
          <w:color w:val="92D050"/>
          <w:kern w:val="0"/>
          <w:sz w:val="22"/>
          <w:szCs w:val="22"/>
          <w:lang w:eastAsia="en-US"/>
        </w:rPr>
      </w:pPr>
      <w:r w:rsidRPr="00DD1DF8">
        <w:rPr>
          <w:rFonts w:ascii="Calibri" w:eastAsia="Calibri" w:hAnsi="Calibri" w:cs="Calibri"/>
          <w:b/>
          <w:i/>
          <w:kern w:val="0"/>
          <w:sz w:val="22"/>
          <w:szCs w:val="22"/>
          <w:lang w:eastAsia="en-US"/>
        </w:rPr>
        <w:t>Legende:</w:t>
      </w:r>
      <w:r w:rsidR="00EA7F23">
        <w:rPr>
          <w:rFonts w:ascii="Calibri" w:eastAsia="Calibri" w:hAnsi="Calibri" w:cs="Calibri"/>
          <w:b/>
          <w:i/>
          <w:kern w:val="0"/>
          <w:sz w:val="22"/>
          <w:szCs w:val="22"/>
          <w:lang w:eastAsia="en-US"/>
        </w:rPr>
        <w:tab/>
      </w:r>
      <w:r w:rsidRPr="00DD1DF8">
        <w:rPr>
          <w:rFonts w:ascii="Calibri" w:eastAsia="Calibri" w:hAnsi="Calibri" w:cs="Calibri"/>
          <w:color w:val="92D050"/>
          <w:kern w:val="0"/>
          <w:sz w:val="22"/>
          <w:szCs w:val="22"/>
          <w:lang w:eastAsia="en-US"/>
        </w:rPr>
        <w:t xml:space="preserve">grün: </w:t>
      </w:r>
      <w:r w:rsidRPr="00DD1DF8">
        <w:rPr>
          <w:rFonts w:ascii="Calibri" w:eastAsia="Calibri" w:hAnsi="Calibri" w:cs="Calibri"/>
          <w:kern w:val="0"/>
          <w:sz w:val="22"/>
          <w:szCs w:val="22"/>
          <w:lang w:eastAsia="en-US"/>
        </w:rPr>
        <w:t>Sie entscheiden, ob wir Ihre Daten erfassen</w:t>
      </w:r>
      <w:r w:rsidR="001025E7">
        <w:rPr>
          <w:rFonts w:ascii="Calibri" w:eastAsia="Calibri" w:hAnsi="Calibri" w:cs="Calibri"/>
          <w:kern w:val="0"/>
          <w:sz w:val="22"/>
          <w:szCs w:val="22"/>
          <w:lang w:eastAsia="en-US"/>
        </w:rPr>
        <w:t>.</w:t>
      </w:r>
    </w:p>
    <w:p w14:paraId="263FF3FB" w14:textId="77777777" w:rsidR="00DD1DF8" w:rsidRPr="00DD1DF8" w:rsidRDefault="00DD1DF8" w:rsidP="00DD1DF8">
      <w:pPr>
        <w:jc w:val="left"/>
        <w:rPr>
          <w:rFonts w:ascii="Calibri" w:eastAsia="Calibri" w:hAnsi="Calibri" w:cs="Calibri"/>
          <w:kern w:val="0"/>
          <w:sz w:val="22"/>
          <w:szCs w:val="22"/>
          <w:lang w:eastAsia="en-US"/>
        </w:rPr>
      </w:pPr>
      <w:r w:rsidRPr="00DD1DF8">
        <w:rPr>
          <w:rFonts w:ascii="Calibri" w:eastAsia="Calibri" w:hAnsi="Calibri" w:cs="Calibri"/>
          <w:color w:val="92D050"/>
          <w:kern w:val="0"/>
          <w:sz w:val="22"/>
          <w:szCs w:val="22"/>
          <w:lang w:eastAsia="en-US"/>
        </w:rPr>
        <w:tab/>
      </w:r>
      <w:r w:rsidRPr="00DD1DF8">
        <w:rPr>
          <w:rFonts w:ascii="Calibri" w:eastAsia="Calibri" w:hAnsi="Calibri" w:cs="Calibri"/>
          <w:color w:val="92D050"/>
          <w:kern w:val="0"/>
          <w:sz w:val="22"/>
          <w:szCs w:val="22"/>
          <w:lang w:eastAsia="en-US"/>
        </w:rPr>
        <w:tab/>
      </w:r>
      <w:r w:rsidRPr="00DD1DF8">
        <w:rPr>
          <w:rFonts w:ascii="Calibri" w:eastAsia="Calibri" w:hAnsi="Calibri" w:cs="Calibri"/>
          <w:color w:val="FFFF00"/>
          <w:kern w:val="0"/>
          <w:sz w:val="22"/>
          <w:szCs w:val="22"/>
          <w:lang w:eastAsia="en-US"/>
        </w:rPr>
        <w:t xml:space="preserve">gelb: </w:t>
      </w:r>
      <w:r w:rsidRPr="00DD1DF8">
        <w:rPr>
          <w:rFonts w:ascii="Calibri" w:eastAsia="Calibri" w:hAnsi="Calibri" w:cs="Calibri"/>
          <w:kern w:val="0"/>
          <w:sz w:val="22"/>
          <w:szCs w:val="22"/>
          <w:lang w:eastAsia="en-US"/>
        </w:rPr>
        <w:t>Auf Ihren Wunsch hin verzichten wir auf die Datenerfassung</w:t>
      </w:r>
      <w:r w:rsidR="001025E7">
        <w:rPr>
          <w:rFonts w:ascii="Calibri" w:eastAsia="Calibri" w:hAnsi="Calibri" w:cs="Calibri"/>
          <w:kern w:val="0"/>
          <w:sz w:val="22"/>
          <w:szCs w:val="22"/>
          <w:lang w:eastAsia="en-US"/>
        </w:rPr>
        <w:t>.</w:t>
      </w:r>
    </w:p>
    <w:p w14:paraId="7E7FA4FE" w14:textId="060A9F36" w:rsidR="00DD1DF8" w:rsidRPr="00DD1DF8" w:rsidRDefault="00DD1DF8" w:rsidP="00DD1DF8">
      <w:pPr>
        <w:jc w:val="left"/>
        <w:rPr>
          <w:rFonts w:ascii="Calibri" w:eastAsia="Calibri" w:hAnsi="Calibri" w:cs="Calibri"/>
          <w:kern w:val="0"/>
          <w:sz w:val="22"/>
          <w:szCs w:val="22"/>
          <w:lang w:eastAsia="en-US"/>
        </w:rPr>
      </w:pPr>
      <w:r w:rsidRPr="00DD1DF8">
        <w:rPr>
          <w:rFonts w:ascii="Calibri" w:eastAsia="Calibri" w:hAnsi="Calibri" w:cs="Calibri"/>
          <w:color w:val="FFFF00"/>
          <w:kern w:val="0"/>
          <w:sz w:val="22"/>
          <w:szCs w:val="22"/>
          <w:lang w:eastAsia="en-US"/>
        </w:rPr>
        <w:tab/>
      </w:r>
      <w:r w:rsidRPr="00DD1DF8">
        <w:rPr>
          <w:rFonts w:ascii="Calibri" w:eastAsia="Calibri" w:hAnsi="Calibri" w:cs="Calibri"/>
          <w:color w:val="FFFF00"/>
          <w:kern w:val="0"/>
          <w:sz w:val="22"/>
          <w:szCs w:val="22"/>
          <w:lang w:eastAsia="en-US"/>
        </w:rPr>
        <w:tab/>
      </w:r>
      <w:r w:rsidRPr="00DD1DF8">
        <w:rPr>
          <w:rFonts w:ascii="Calibri" w:eastAsia="Calibri" w:hAnsi="Calibri" w:cs="Calibri"/>
          <w:color w:val="FF0000"/>
          <w:kern w:val="0"/>
          <w:sz w:val="22"/>
          <w:szCs w:val="22"/>
          <w:lang w:eastAsia="en-US"/>
        </w:rPr>
        <w:t xml:space="preserve">rot: </w:t>
      </w:r>
      <w:r w:rsidRPr="00DD1DF8">
        <w:rPr>
          <w:rFonts w:ascii="Calibri" w:eastAsia="Calibri" w:hAnsi="Calibri" w:cs="Calibri"/>
          <w:kern w:val="0"/>
          <w:sz w:val="22"/>
          <w:szCs w:val="22"/>
          <w:lang w:eastAsia="en-US"/>
        </w:rPr>
        <w:t>Ohne die Erfassung dieser Daten kann unser Service leider nicht genutzt werden.</w:t>
      </w:r>
    </w:p>
    <w:p w14:paraId="5C6B6365" w14:textId="4007C318" w:rsidR="00CC0A56" w:rsidRDefault="00643647" w:rsidP="00CC0A56">
      <w:r>
        <w:lastRenderedPageBreak/>
        <w:t xml:space="preserve">Alle </w:t>
      </w:r>
      <w:r w:rsidR="00AA1888">
        <w:t>beschriebenen</w:t>
      </w:r>
      <w:r>
        <w:t xml:space="preserve"> Ansätze können im Hinblick auf die detaillierten Vorgaben der DSGVO nur als erste Übersicht und somit gewissermaßen als zusätzliches Angebot für den </w:t>
      </w:r>
      <w:r w:rsidR="00364B34">
        <w:t>Betroffenen</w:t>
      </w:r>
      <w:r>
        <w:t xml:space="preserve"> im Rahmen einer gelungenen Kommunikationsstrategie gesehen werden. Diesen muss jedoch aus rechtlichen Gründen weiterhin eine umfangreiche Datenschutzerklärung folgen. Daneben </w:t>
      </w:r>
      <w:r w:rsidR="00402574">
        <w:t>bedürfen</w:t>
      </w:r>
      <w:r>
        <w:t xml:space="preserve"> gerade die tabellarischen Darstellungen zu </w:t>
      </w:r>
      <w:r w:rsidR="00402574">
        <w:t xml:space="preserve">ihrer Verständlichkeit </w:t>
      </w:r>
      <w:r w:rsidR="000C23F8">
        <w:t>noch</w:t>
      </w:r>
      <w:r w:rsidR="00402574">
        <w:t xml:space="preserve"> </w:t>
      </w:r>
      <w:r w:rsidR="000C23F8">
        <w:t>ergänzend beigelegten</w:t>
      </w:r>
      <w:r>
        <w:t xml:space="preserve"> Erläuterungen.</w:t>
      </w:r>
      <w:r w:rsidR="00CC0A56">
        <w:t xml:space="preserve"> Dabei ist auf die Widerspru</w:t>
      </w:r>
      <w:r w:rsidR="00002A22">
        <w:t>chsfreiheit zwischen den bloßen Datenschutzhinweis, und</w:t>
      </w:r>
      <w:r w:rsidR="00CC0A56">
        <w:t xml:space="preserve"> der eigentlichen Datenschutzerklärung zu achten.</w:t>
      </w:r>
    </w:p>
    <w:p w14:paraId="4B9AF7DE" w14:textId="7C1870C5" w:rsidR="00FD53F9" w:rsidRDefault="00643647" w:rsidP="00643647">
      <w:r>
        <w:t>Gerade durch diese</w:t>
      </w:r>
      <w:r w:rsidR="00CC0A56">
        <w:t xml:space="preserve"> nach der Informationsdichte gestaffelte</w:t>
      </w:r>
      <w:r>
        <w:t xml:space="preserve"> Kommunikation können sich Unternehmen deutlich von ihrer Konkurrenz abheben und somit Wettbewerbsvorteile im Bereich der Datenschutzkommunikation schaffen. </w:t>
      </w:r>
      <w:r w:rsidR="004344E0">
        <w:t>Die</w:t>
      </w:r>
      <w:r>
        <w:t xml:space="preserve"> Lesbarkeit und Verständlichkeit der Datenschutzerklärung </w:t>
      </w:r>
      <w:r w:rsidR="004344E0">
        <w:t xml:space="preserve">erhöhen </w:t>
      </w:r>
      <w:r>
        <w:t>nicht nur das Vertrauen der Nutzer in die Erklärung selber, sondern auch in</w:t>
      </w:r>
      <w:r w:rsidR="00CC0A56">
        <w:t xml:space="preserve"> die Datenschutzstrategie</w:t>
      </w:r>
      <w:r>
        <w:t xml:space="preserve"> d</w:t>
      </w:r>
      <w:r w:rsidR="00CC0A56">
        <w:t>e</w:t>
      </w:r>
      <w:r>
        <w:t>s dahinterstehende</w:t>
      </w:r>
      <w:r w:rsidR="00CC0A56">
        <w:t>n</w:t>
      </w:r>
      <w:r>
        <w:t xml:space="preserve"> Unternehmen</w:t>
      </w:r>
      <w:r w:rsidR="00CC0A56">
        <w:t>s</w:t>
      </w:r>
      <w:r w:rsidR="004344E0">
        <w:t>.</w:t>
      </w:r>
    </w:p>
    <w:p w14:paraId="1FD26BAF" w14:textId="595F2998" w:rsidR="00FD53F9" w:rsidRDefault="00FD53F9" w:rsidP="007072B3">
      <w:pPr>
        <w:pStyle w:val="berschrift6"/>
      </w:pPr>
      <w:bookmarkStart w:id="455" w:name="_Toc471812267"/>
      <w:bookmarkStart w:id="456" w:name="_Toc471818833"/>
      <w:bookmarkStart w:id="457" w:name="_Toc471826515"/>
      <w:bookmarkStart w:id="458" w:name="_Toc471828116"/>
      <w:bookmarkStart w:id="459" w:name="_Toc471829473"/>
      <w:bookmarkStart w:id="460" w:name="_Toc512241345"/>
      <w:r>
        <w:t>Ergänzender Einsatz von Piktogrammen</w:t>
      </w:r>
      <w:bookmarkEnd w:id="455"/>
      <w:bookmarkEnd w:id="456"/>
      <w:bookmarkEnd w:id="457"/>
      <w:bookmarkEnd w:id="458"/>
      <w:bookmarkEnd w:id="459"/>
      <w:bookmarkEnd w:id="460"/>
      <w:r>
        <w:t xml:space="preserve"> </w:t>
      </w:r>
    </w:p>
    <w:p w14:paraId="3F1BA360" w14:textId="77777777" w:rsidR="00086268" w:rsidRPr="00086268" w:rsidRDefault="00086268" w:rsidP="002D4981">
      <w:pPr>
        <w:pStyle w:val="Schrifttum"/>
      </w:pPr>
      <w:r w:rsidRPr="002D4981">
        <w:rPr>
          <w:i/>
        </w:rPr>
        <w:t>Richter</w:t>
      </w:r>
      <w:r>
        <w:t>, Simplifizierung als Lösung für die „Daten-AGB?</w:t>
      </w:r>
      <w:r w:rsidRPr="00086268">
        <w:t xml:space="preserve"> </w:t>
      </w:r>
      <w:r>
        <w:t xml:space="preserve">“, </w:t>
      </w:r>
      <w:proofErr w:type="spellStart"/>
      <w:r>
        <w:t>PinG</w:t>
      </w:r>
      <w:proofErr w:type="spellEnd"/>
      <w:r>
        <w:t xml:space="preserve"> </w:t>
      </w:r>
      <w:r w:rsidR="0032521D">
        <w:t xml:space="preserve">[Privacy in Germany] 2017, 65 </w:t>
      </w:r>
      <w:r>
        <w:t xml:space="preserve">abrufbar unter </w:t>
      </w:r>
      <w:r w:rsidR="0032521D" w:rsidRPr="0032521D">
        <w:t>http://t1p.de/c9ca</w:t>
      </w:r>
      <w:r w:rsidR="0032521D">
        <w:t xml:space="preserve"> [</w:t>
      </w:r>
      <w:proofErr w:type="spellStart"/>
      <w:proofErr w:type="gramStart"/>
      <w:r w:rsidR="0032521D">
        <w:t>PinG</w:t>
      </w:r>
      <w:proofErr w:type="spellEnd"/>
      <w:proofErr w:type="gramEnd"/>
      <w:r w:rsidR="0032521D">
        <w:t>, kostenpflichtig]</w:t>
      </w:r>
    </w:p>
    <w:p w14:paraId="015A3215" w14:textId="741EB17E" w:rsidR="00643647" w:rsidRDefault="00643647" w:rsidP="00643647">
      <w:r>
        <w:t>Alle Ansätze ließen sich mit denen von der DSGVO angedachten Piktogrammen verbinden</w:t>
      </w:r>
      <w:r w:rsidR="00E449B8">
        <w:t xml:space="preserve"> (Art. 12 Abs. 7 DSGVO)</w:t>
      </w:r>
      <w:r>
        <w:t xml:space="preserve">. Bis zur Erstellung dieser durch den </w:t>
      </w:r>
      <w:r w:rsidR="00CC52F6">
        <w:t>E</w:t>
      </w:r>
      <w:r>
        <w:t>uropäischen Datenschutzausschuss</w:t>
      </w:r>
      <w:r w:rsidR="00E449B8">
        <w:t xml:space="preserve"> (Art. 12 Abs. 8 DSGVO)</w:t>
      </w:r>
      <w:r>
        <w:t xml:space="preserve"> bleibt aber abzuwarten, ob diese in ihrer tatsächlichen Form </w:t>
      </w:r>
      <w:r w:rsidR="002B0283">
        <w:t>geeignet</w:t>
      </w:r>
      <w:r>
        <w:t xml:space="preserve"> sind, die gesetzlich notwendigen komplexen Informationen für den durchschnittlichen Anwender verständlich darzustellen. Ansätze in diese Richtung gab es bereits einige. Zu nennen seien einerseits das p3p-Projekt, was auf Protokollebene eine Vereinheitlichung der angezeigten Datenschutzinformationen erreichen wollte, und diverse daran anknüpfende Projekte wie beispielsweise „Mozilla Privacy Icons“ oder „</w:t>
      </w:r>
      <w:proofErr w:type="spellStart"/>
      <w:r>
        <w:t>KnowPrivacy</w:t>
      </w:r>
      <w:proofErr w:type="spellEnd"/>
      <w:r>
        <w:t xml:space="preserve">“. Leider ist den Projekten gemeinsam, dass sie nie große Praxisrelevanz erreichen konnten und eine Weiterentwicklung daher eingestellt wurde. </w:t>
      </w:r>
      <w:r w:rsidR="00EA5F17">
        <w:t xml:space="preserve">Wenig überzeugend war in diesem Zusammenhang auch der Vorschlag des EU-Parlaments [abrufbar unter </w:t>
      </w:r>
      <w:r w:rsidR="0032521D" w:rsidRPr="0032521D">
        <w:t>http://t1p.de/qqk5</w:t>
      </w:r>
      <w:r w:rsidR="0032521D">
        <w:t>; EU- Parlament, kostenfrei, S. 333].</w:t>
      </w:r>
    </w:p>
    <w:p w14:paraId="6C912111" w14:textId="33E274A7" w:rsidR="00643647" w:rsidRDefault="00643647" w:rsidP="00643647">
      <w:r>
        <w:t xml:space="preserve">Zur Veranschaulichung </w:t>
      </w:r>
      <w:r w:rsidR="0049494A">
        <w:t>hier</w:t>
      </w:r>
      <w:r>
        <w:t xml:space="preserve"> </w:t>
      </w:r>
      <w:r w:rsidR="00712C17">
        <w:t>einige Beispiele, die</w:t>
      </w:r>
      <w:r>
        <w:t xml:space="preserve"> optisch an die Creative-</w:t>
      </w:r>
      <w:proofErr w:type="spellStart"/>
      <w:r>
        <w:t>Commons</w:t>
      </w:r>
      <w:proofErr w:type="spellEnd"/>
      <w:r>
        <w:t xml:space="preserve"> Lizenzsymbole erinner</w:t>
      </w:r>
      <w:r w:rsidR="00712C17">
        <w:t>n</w:t>
      </w:r>
      <w:r w:rsidR="0049494A">
        <w:t>:</w:t>
      </w:r>
    </w:p>
    <w:tbl>
      <w:tblPr>
        <w:tblStyle w:val="Tabellenraster"/>
        <w:tblW w:w="0" w:type="auto"/>
        <w:tblLook w:val="04A0" w:firstRow="1" w:lastRow="0" w:firstColumn="1" w:lastColumn="0" w:noHBand="0" w:noVBand="1"/>
      </w:tblPr>
      <w:tblGrid>
        <w:gridCol w:w="9062"/>
      </w:tblGrid>
      <w:tr w:rsidR="006E5302" w14:paraId="3D97857D" w14:textId="77777777" w:rsidTr="006E5302">
        <w:tc>
          <w:tcPr>
            <w:tcW w:w="9288" w:type="dxa"/>
          </w:tcPr>
          <w:p w14:paraId="16AE73A7" w14:textId="2DC30179" w:rsidR="006E5302" w:rsidRDefault="006E5302" w:rsidP="00765CFD">
            <w:pPr>
              <w:jc w:val="center"/>
            </w:pPr>
            <w:r>
              <w:rPr>
                <w:noProof/>
              </w:rPr>
              <w:drawing>
                <wp:inline distT="0" distB="0" distL="0" distR="0" wp14:anchorId="270D42BA" wp14:editId="708E7452">
                  <wp:extent cx="4886325" cy="2955925"/>
                  <wp:effectExtent l="0" t="0" r="952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cons-page-001.jpg"/>
                          <pic:cNvPicPr/>
                        </pic:nvPicPr>
                        <pic:blipFill>
                          <a:blip r:embed="rId8"/>
                          <a:stretch>
                            <a:fillRect/>
                          </a:stretch>
                        </pic:blipFill>
                        <pic:spPr>
                          <a:xfrm>
                            <a:off x="0" y="0"/>
                            <a:ext cx="4908129" cy="2969115"/>
                          </a:xfrm>
                          <a:prstGeom prst="rect">
                            <a:avLst/>
                          </a:prstGeom>
                        </pic:spPr>
                      </pic:pic>
                    </a:graphicData>
                  </a:graphic>
                </wp:inline>
              </w:drawing>
            </w:r>
          </w:p>
        </w:tc>
      </w:tr>
      <w:tr w:rsidR="006E5302" w14:paraId="53D0D528" w14:textId="77777777" w:rsidTr="006E5302">
        <w:tc>
          <w:tcPr>
            <w:tcW w:w="9288" w:type="dxa"/>
          </w:tcPr>
          <w:p w14:paraId="78E8F29C" w14:textId="77777777" w:rsidR="006E5302" w:rsidRPr="00211DC6" w:rsidRDefault="006E5302" w:rsidP="006E5302">
            <w:pPr>
              <w:jc w:val="center"/>
              <w:rPr>
                <w:noProof/>
              </w:rPr>
            </w:pPr>
            <w:r w:rsidRPr="00211DC6">
              <w:rPr>
                <w:noProof/>
              </w:rPr>
              <w:t>aus „Iconset for Data-Privacy Declarations v 0.1“ von Matthias Mehldau (bearbeitet)</w:t>
            </w:r>
          </w:p>
          <w:p w14:paraId="1BB04196" w14:textId="77777777" w:rsidR="006E5302" w:rsidRPr="00AC0177" w:rsidRDefault="006E5302" w:rsidP="00AC0177">
            <w:pPr>
              <w:jc w:val="center"/>
              <w:rPr>
                <w:sz w:val="16"/>
                <w:szCs w:val="16"/>
              </w:rPr>
            </w:pPr>
            <w:r w:rsidRPr="00211DC6">
              <w:rPr>
                <w:sz w:val="16"/>
                <w:szCs w:val="16"/>
              </w:rPr>
              <w:t xml:space="preserve">Lizenz: Creative </w:t>
            </w:r>
            <w:proofErr w:type="spellStart"/>
            <w:r w:rsidRPr="00211DC6">
              <w:rPr>
                <w:sz w:val="16"/>
                <w:szCs w:val="16"/>
              </w:rPr>
              <w:t>Commons</w:t>
            </w:r>
            <w:proofErr w:type="spellEnd"/>
            <w:r w:rsidRPr="00211DC6">
              <w:rPr>
                <w:sz w:val="16"/>
                <w:szCs w:val="16"/>
              </w:rPr>
              <w:t xml:space="preserve"> Namensnennung 2.0 Deutschland, http://creativecommons.org/licenses/by/2.0/de/</w:t>
            </w:r>
          </w:p>
        </w:tc>
      </w:tr>
    </w:tbl>
    <w:p w14:paraId="572DBB20" w14:textId="6EEE1A24" w:rsidR="00643647" w:rsidRDefault="00F437D5" w:rsidP="00643647">
      <w:r>
        <w:lastRenderedPageBreak/>
        <w:t>Ein gelungenes Beispiel</w:t>
      </w:r>
      <w:r w:rsidR="00E03C2C">
        <w:t xml:space="preserve"> der </w:t>
      </w:r>
      <w:r>
        <w:t>Kombination von Datenschutz-Informationen und Piktogrammen findet sich</w:t>
      </w:r>
      <w:r w:rsidR="00E03C2C">
        <w:t xml:space="preserve"> in </w:t>
      </w:r>
      <w:r w:rsidR="00643647">
        <w:t xml:space="preserve">der </w:t>
      </w:r>
      <w:r w:rsidR="003C42B2">
        <w:t>Android App „Google Play Store“. Zwar handelt es sich bei</w:t>
      </w:r>
      <w:r w:rsidR="00643647">
        <w:t xml:space="preserve"> den </w:t>
      </w:r>
      <w:r w:rsidR="003C42B2">
        <w:t xml:space="preserve">dort hinterlegten Angaben strenggenommen um Angaben zur betriebssystemseitigen Rechtevergabe für das Programm, </w:t>
      </w:r>
      <w:r w:rsidR="00AF0D93">
        <w:t xml:space="preserve">jedoch beziehen sich viele </w:t>
      </w:r>
      <w:r w:rsidR="003C42B2">
        <w:t>der Angaben auch auf die beabsichtigte Datenverarbeitung und -weitergabe:</w:t>
      </w:r>
    </w:p>
    <w:p w14:paraId="3F6DBCE8" w14:textId="77777777" w:rsidR="00781B2C" w:rsidRDefault="00781B2C" w:rsidP="00643647"/>
    <w:tbl>
      <w:tblPr>
        <w:tblStyle w:val="Tabellenraster"/>
        <w:tblW w:w="0" w:type="auto"/>
        <w:tblLook w:val="04A0" w:firstRow="1" w:lastRow="0" w:firstColumn="1" w:lastColumn="0" w:noHBand="0" w:noVBand="1"/>
      </w:tblPr>
      <w:tblGrid>
        <w:gridCol w:w="9062"/>
      </w:tblGrid>
      <w:tr w:rsidR="003C42B2" w14:paraId="592DBEE6" w14:textId="77777777" w:rsidTr="003C42B2">
        <w:tc>
          <w:tcPr>
            <w:tcW w:w="9212" w:type="dxa"/>
          </w:tcPr>
          <w:p w14:paraId="3D07394B" w14:textId="77777777" w:rsidR="003C42B2" w:rsidRDefault="003C42B2" w:rsidP="002D4981">
            <w:pPr>
              <w:jc w:val="center"/>
            </w:pPr>
            <w:r>
              <w:rPr>
                <w:noProof/>
              </w:rPr>
              <w:drawing>
                <wp:inline distT="0" distB="0" distL="0" distR="0" wp14:anchorId="6B00B5B7" wp14:editId="15480DD7">
                  <wp:extent cx="3531600" cy="5680800"/>
                  <wp:effectExtent l="0" t="0" r="0" b="0"/>
                  <wp:docPr id="3" name="Grafik 3" descr="C:\Users\Dirk\AppData\Local\Microsoft\Windows\INetCache\Content.Word\Screenshot_2017-04-01-13-09-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k\AppData\Local\Microsoft\Windows\INetCache\Content.Word\Screenshot_2017-04-01-13-09-2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1600" cy="5680800"/>
                          </a:xfrm>
                          <a:prstGeom prst="rect">
                            <a:avLst/>
                          </a:prstGeom>
                          <a:noFill/>
                          <a:ln>
                            <a:noFill/>
                          </a:ln>
                        </pic:spPr>
                      </pic:pic>
                    </a:graphicData>
                  </a:graphic>
                </wp:inline>
              </w:drawing>
            </w:r>
          </w:p>
        </w:tc>
      </w:tr>
      <w:tr w:rsidR="003C42B2" w14:paraId="552E4458" w14:textId="77777777" w:rsidTr="003C42B2">
        <w:tc>
          <w:tcPr>
            <w:tcW w:w="9212" w:type="dxa"/>
          </w:tcPr>
          <w:p w14:paraId="4B01506D" w14:textId="77777777" w:rsidR="003C42B2" w:rsidRDefault="003C42B2" w:rsidP="003C42B2">
            <w:pPr>
              <w:jc w:val="center"/>
              <w:rPr>
                <w:noProof/>
              </w:rPr>
            </w:pPr>
            <w:r>
              <w:rPr>
                <w:noProof/>
              </w:rPr>
              <w:t xml:space="preserve">Aus der Android App „Google Play Store“, </w:t>
            </w:r>
          </w:p>
          <w:p w14:paraId="0C773B65" w14:textId="77777777" w:rsidR="003C42B2" w:rsidRPr="00700275" w:rsidRDefault="003C42B2" w:rsidP="003C42B2">
            <w:pPr>
              <w:jc w:val="center"/>
              <w:rPr>
                <w:noProof/>
                <w:sz w:val="16"/>
                <w:szCs w:val="16"/>
              </w:rPr>
            </w:pPr>
            <w:r w:rsidRPr="002D4981">
              <w:rPr>
                <w:noProof/>
                <w:sz w:val="16"/>
                <w:szCs w:val="16"/>
              </w:rPr>
              <w:t>Vers. 7.6.08.N-all [0] [PR] 149245622 auf Android 5.0 build 2.0.1_20150623-1900</w:t>
            </w:r>
          </w:p>
        </w:tc>
      </w:tr>
    </w:tbl>
    <w:p w14:paraId="0663EAC4" w14:textId="16B608FE" w:rsidR="00F559BF" w:rsidRDefault="004E7611" w:rsidP="00BF1C86">
      <w:pPr>
        <w:pStyle w:val="berschrift6"/>
      </w:pPr>
      <w:bookmarkStart w:id="461" w:name="_Toc471812268"/>
      <w:bookmarkStart w:id="462" w:name="_Toc471818834"/>
      <w:bookmarkStart w:id="463" w:name="_Toc471826516"/>
      <w:bookmarkStart w:id="464" w:name="_Toc471828117"/>
      <w:bookmarkStart w:id="465" w:name="_Toc471829474"/>
      <w:bookmarkStart w:id="466" w:name="_Toc512241346"/>
      <w:r>
        <w:t>Ausgestaltungsmöglichkeiten für das Auskunftsverfahren</w:t>
      </w:r>
      <w:bookmarkEnd w:id="461"/>
      <w:bookmarkEnd w:id="462"/>
      <w:bookmarkEnd w:id="463"/>
      <w:bookmarkEnd w:id="464"/>
      <w:bookmarkEnd w:id="465"/>
      <w:bookmarkEnd w:id="466"/>
    </w:p>
    <w:p w14:paraId="5C7A5944" w14:textId="0B55A139" w:rsidR="0025176C" w:rsidRDefault="00F34C40" w:rsidP="00E679D9">
      <w:r>
        <w:t xml:space="preserve">In </w:t>
      </w:r>
      <w:r w:rsidR="00C15BCE">
        <w:t xml:space="preserve">Erwägungsgrund 63 </w:t>
      </w:r>
      <w:r w:rsidR="002D02A7">
        <w:t xml:space="preserve">der </w:t>
      </w:r>
      <w:r w:rsidR="00E679D9">
        <w:t>DSGVO</w:t>
      </w:r>
      <w:r w:rsidR="00C15BCE">
        <w:t xml:space="preserve"> </w:t>
      </w:r>
      <w:r w:rsidR="00FF7EB3">
        <w:t xml:space="preserve">enthält </w:t>
      </w:r>
      <w:r w:rsidR="004E7611">
        <w:t>das europäische Recht</w:t>
      </w:r>
      <w:r w:rsidR="00512794">
        <w:t xml:space="preserve"> </w:t>
      </w:r>
      <w:r w:rsidR="00C15BCE">
        <w:t>eine echte</w:t>
      </w:r>
      <w:r w:rsidR="004E7611">
        <w:t xml:space="preserve"> kommunikative</w:t>
      </w:r>
      <w:r w:rsidR="00C15BCE">
        <w:t xml:space="preserve"> Neuheit, indem es als zulässig erklärt wird, dass Betroffenen ersatzweise </w:t>
      </w:r>
      <w:r w:rsidR="00E44D9B">
        <w:t xml:space="preserve">statt der </w:t>
      </w:r>
      <w:r w:rsidR="003A00A5">
        <w:t>reaktiven Auskunft im Einzelfall</w:t>
      </w:r>
      <w:r w:rsidR="00E44D9B">
        <w:t xml:space="preserve"> </w:t>
      </w:r>
      <w:r w:rsidR="00C15BCE">
        <w:t xml:space="preserve">ein elektronischer Zugang zu seinen </w:t>
      </w:r>
      <w:r w:rsidR="00BD51F8">
        <w:t xml:space="preserve">Daten </w:t>
      </w:r>
      <w:r w:rsidR="00C15BCE">
        <w:t xml:space="preserve">ermöglicht wird. Dies gibt dem Auskunftsrecht eine neue, weitreichende Bedeutung. Denkbar wäre dadurch einerseits für den Betroffenen eine Echtzeitkontrolle der Datenbestände und somit größere Transparenz. Andererseits könnte bei ohnehin auf Webservern vorhandenen Daten der Aufwand für die </w:t>
      </w:r>
      <w:r w:rsidR="00C15BCE">
        <w:lastRenderedPageBreak/>
        <w:t xml:space="preserve">Verantwortliche Stelle durch diese Möglichkeit der Selbstauskunft auf Dauer deutlich reduziert werden: Der Betroffene gibt </w:t>
      </w:r>
      <w:r w:rsidR="00FF7EB3">
        <w:t xml:space="preserve">bzw. nimmt </w:t>
      </w:r>
      <w:r w:rsidR="00C15BCE">
        <w:t>sich selber Auskunft.</w:t>
      </w:r>
    </w:p>
    <w:p w14:paraId="53CF56AC" w14:textId="28759D1F" w:rsidR="0025176C" w:rsidRDefault="0025176C" w:rsidP="00E679D9">
      <w:r>
        <w:t xml:space="preserve">Ähnlichkeiten lassen sich hier zum </w:t>
      </w:r>
      <w:r w:rsidR="00041627">
        <w:t>Konzept</w:t>
      </w:r>
      <w:r>
        <w:t xml:space="preserve"> des sog. </w:t>
      </w:r>
      <w:r w:rsidR="00030CC2">
        <w:t>„</w:t>
      </w:r>
      <w:r>
        <w:t>Datenbriefes</w:t>
      </w:r>
      <w:r w:rsidR="00030CC2">
        <w:t xml:space="preserve">“ </w:t>
      </w:r>
      <w:r w:rsidR="00181A73">
        <w:t xml:space="preserve">– </w:t>
      </w:r>
      <w:r w:rsidR="00803AD7">
        <w:t xml:space="preserve">das wohl </w:t>
      </w:r>
      <w:r w:rsidR="00E679D9" w:rsidRPr="00E679D9">
        <w:t xml:space="preserve">auf </w:t>
      </w:r>
      <w:r w:rsidR="00E679D9" w:rsidRPr="002D02A7">
        <w:rPr>
          <w:i/>
        </w:rPr>
        <w:t xml:space="preserve">Arthur </w:t>
      </w:r>
      <w:r w:rsidR="00C47C2E">
        <w:rPr>
          <w:i/>
        </w:rPr>
        <w:t xml:space="preserve">R. </w:t>
      </w:r>
      <w:r w:rsidR="00E679D9" w:rsidRPr="002D02A7">
        <w:rPr>
          <w:i/>
        </w:rPr>
        <w:t>Miller</w:t>
      </w:r>
      <w:r w:rsidR="00E679D9" w:rsidRPr="002D02A7">
        <w:t xml:space="preserve">, The </w:t>
      </w:r>
      <w:proofErr w:type="spellStart"/>
      <w:r w:rsidR="00E679D9" w:rsidRPr="002D02A7">
        <w:t>Atlantic</w:t>
      </w:r>
      <w:proofErr w:type="spellEnd"/>
      <w:r w:rsidR="00E80AC9">
        <w:t>,</w:t>
      </w:r>
      <w:r w:rsidR="00E679D9" w:rsidRPr="002D02A7">
        <w:t xml:space="preserve"> </w:t>
      </w:r>
      <w:r w:rsidR="00BF6209">
        <w:t xml:space="preserve">Ausgabe </w:t>
      </w:r>
      <w:r w:rsidR="00E679D9" w:rsidRPr="002D02A7">
        <w:t>220</w:t>
      </w:r>
      <w:r w:rsidR="00A2763C">
        <w:t xml:space="preserve">, </w:t>
      </w:r>
      <w:r w:rsidR="003F76D2">
        <w:t xml:space="preserve">Nr. </w:t>
      </w:r>
      <w:r w:rsidR="00A2763C">
        <w:t xml:space="preserve">5 </w:t>
      </w:r>
      <w:r w:rsidR="00E679D9" w:rsidRPr="002D02A7">
        <w:t>(1967), S. 53</w:t>
      </w:r>
      <w:r w:rsidR="00181A73" w:rsidRPr="002D02A7">
        <w:t xml:space="preserve"> (</w:t>
      </w:r>
      <w:r w:rsidR="00E679D9" w:rsidRPr="002D02A7">
        <w:t>55</w:t>
      </w:r>
      <w:r w:rsidR="00BF6209">
        <w:t> f.</w:t>
      </w:r>
      <w:r w:rsidR="00181A73" w:rsidRPr="002D02A7">
        <w:t>)</w:t>
      </w:r>
      <w:r w:rsidR="00E679D9" w:rsidRPr="002D02A7">
        <w:t>,</w:t>
      </w:r>
      <w:r w:rsidR="00E679D9" w:rsidRPr="00E679D9">
        <w:t xml:space="preserve"> zurück</w:t>
      </w:r>
      <w:r w:rsidR="00803AD7">
        <w:t xml:space="preserve">geht </w:t>
      </w:r>
      <w:r w:rsidR="00714986">
        <w:t xml:space="preserve">und in Deutschland </w:t>
      </w:r>
      <w:r w:rsidR="001D68B3">
        <w:t xml:space="preserve">von </w:t>
      </w:r>
      <w:r w:rsidR="001D68B3">
        <w:rPr>
          <w:i/>
        </w:rPr>
        <w:t>Simitis</w:t>
      </w:r>
      <w:r w:rsidR="001D68B3">
        <w:t xml:space="preserve"> (NJW 1971, S. 673, 681 f.) aufgegriffen und eine Zeit lang</w:t>
      </w:r>
      <w:r w:rsidR="001D68B3">
        <w:rPr>
          <w:i/>
        </w:rPr>
        <w:t xml:space="preserve"> </w:t>
      </w:r>
      <w:r w:rsidR="00041627">
        <w:t>vom Chaos Computer Club (CCC</w:t>
      </w:r>
      <w:r w:rsidR="0077430D">
        <w:t>)</w:t>
      </w:r>
      <w:r w:rsidR="00041627">
        <w:t xml:space="preserve"> </w:t>
      </w:r>
      <w:r w:rsidR="001D68B3">
        <w:t>propagiert</w:t>
      </w:r>
      <w:r w:rsidR="00041627">
        <w:t xml:space="preserve"> worden war</w:t>
      </w:r>
      <w:r w:rsidR="00030CC2">
        <w:t xml:space="preserve"> </w:t>
      </w:r>
      <w:r w:rsidR="00041627">
        <w:t>–</w:t>
      </w:r>
      <w:r>
        <w:t xml:space="preserve"> </w:t>
      </w:r>
      <w:r w:rsidR="00041627">
        <w:t>als einer Art</w:t>
      </w:r>
      <w:r>
        <w:t xml:space="preserve"> </w:t>
      </w:r>
      <w:r w:rsidR="00030CC2">
        <w:t>„</w:t>
      </w:r>
      <w:r>
        <w:t>Datenkontoauszug</w:t>
      </w:r>
      <w:r w:rsidR="00030CC2">
        <w:t>“</w:t>
      </w:r>
      <w:r>
        <w:t xml:space="preserve"> erkennen. Zwar ist eine solche (einmalige oder periodische) zusammenfassende Mitteilung über die gespeicherten Daten bisher nicht gesetzlich vorgesehen</w:t>
      </w:r>
      <w:r w:rsidR="00030CC2">
        <w:t>, der Erwägungsgrund 63 eröffnet aber Möglichkeiten, über diese Idee noch weit hinausz</w:t>
      </w:r>
      <w:r w:rsidR="00E679D9">
        <w:t>u</w:t>
      </w:r>
      <w:r w:rsidR="00030CC2">
        <w:t xml:space="preserve">gehen. Schon beim Modell des Datenbriefes war von einem Kommunikationsstandpunkt an die Möglichkeit von </w:t>
      </w:r>
      <w:proofErr w:type="spellStart"/>
      <w:r w:rsidR="00030CC2">
        <w:t>Beilagenwerbung</w:t>
      </w:r>
      <w:proofErr w:type="spellEnd"/>
      <w:r w:rsidR="00030CC2">
        <w:t xml:space="preserve"> zu denken. Dauerhaft zugängliche, digitale Auskunftssysteme könnten auch hier Synergie-Effekte bringen, indem der Kunde hierdurch bereits auf die unternehmenseigene Website gelotst wird.</w:t>
      </w:r>
    </w:p>
    <w:p w14:paraId="6A295F84" w14:textId="77777777" w:rsidR="00095D16" w:rsidRDefault="00095D16" w:rsidP="00E679D9">
      <w:bookmarkStart w:id="467" w:name="_Toc469776802"/>
      <w:bookmarkStart w:id="468" w:name="_Toc471812269"/>
      <w:bookmarkStart w:id="469" w:name="_Toc471818835"/>
      <w:bookmarkStart w:id="470" w:name="_Toc471826517"/>
      <w:bookmarkStart w:id="471" w:name="_Toc471828118"/>
      <w:bookmarkStart w:id="472" w:name="_Toc471829475"/>
      <w:r>
        <w:t>Einige Anbieter haben sich zu einem recht umfangreichen Angebot entschlossen. Als bekannte Beispiele seien hier exemplarisch die Facebook-Funktion „</w:t>
      </w:r>
      <w:r w:rsidRPr="00095D16">
        <w:t>Eine Kopie deiner Facebook-Daten herunterladen</w:t>
      </w:r>
      <w:r>
        <w:t xml:space="preserve">“, die neben der Auskunft auch den Download erlaubt, und </w:t>
      </w:r>
      <w:r w:rsidR="00FA7AFA">
        <w:t>die Unterseite „Meine Aktivitäten“ in den Konten-Einstellungen bei Google genannt.</w:t>
      </w:r>
    </w:p>
    <w:p w14:paraId="7FC2465F" w14:textId="52C6C8B9" w:rsidR="00A663E0" w:rsidRDefault="00A663E0" w:rsidP="00EB022C">
      <w:pPr>
        <w:pStyle w:val="berschrift4"/>
      </w:pPr>
      <w:bookmarkStart w:id="473" w:name="_Toc512241347"/>
      <w:r>
        <w:t>Reaktive Kommunikation</w:t>
      </w:r>
      <w:bookmarkEnd w:id="467"/>
      <w:bookmarkEnd w:id="468"/>
      <w:bookmarkEnd w:id="469"/>
      <w:bookmarkEnd w:id="470"/>
      <w:bookmarkEnd w:id="471"/>
      <w:bookmarkEnd w:id="472"/>
      <w:bookmarkEnd w:id="473"/>
      <w:r>
        <w:t xml:space="preserve"> </w:t>
      </w:r>
    </w:p>
    <w:p w14:paraId="7CBAB542" w14:textId="43197C69" w:rsidR="009E4FF8" w:rsidRPr="00FE101D" w:rsidRDefault="009E4FF8" w:rsidP="0080035E">
      <w:pPr>
        <w:pStyle w:val="Schrifttum"/>
        <w:rPr>
          <w:i/>
        </w:rPr>
      </w:pPr>
      <w:proofErr w:type="spellStart"/>
      <w:r w:rsidRPr="00377B61">
        <w:rPr>
          <w:i/>
        </w:rPr>
        <w:t>Belke</w:t>
      </w:r>
      <w:proofErr w:type="spellEnd"/>
      <w:r w:rsidRPr="00377B61">
        <w:rPr>
          <w:i/>
        </w:rPr>
        <w:t xml:space="preserve">/Neumann/Zier, </w:t>
      </w:r>
      <w:r w:rsidRPr="00377B61">
        <w:t>Datenschutzalltag in deutschen Unternehmen</w:t>
      </w:r>
      <w:r w:rsidRPr="002D02A7">
        <w:t xml:space="preserve">, </w:t>
      </w:r>
      <w:proofErr w:type="spellStart"/>
      <w:r w:rsidRPr="00377B61">
        <w:t>DuD</w:t>
      </w:r>
      <w:proofErr w:type="spellEnd"/>
      <w:r w:rsidRPr="00377B61">
        <w:t xml:space="preserve"> (Datenschutz und Datensicherheit) 11/2015, S. 753</w:t>
      </w:r>
      <w:r w:rsidR="002D0292" w:rsidRPr="002D02A7">
        <w:t xml:space="preserve"> ff.</w:t>
      </w:r>
      <w:r w:rsidR="00F52D1E">
        <w:t xml:space="preserve">, abrufbar unter </w:t>
      </w:r>
      <w:r w:rsidR="00B2329C" w:rsidRPr="00B2329C">
        <w:t>http://t1p.de/y1cz</w:t>
      </w:r>
      <w:r w:rsidR="00B2329C">
        <w:t xml:space="preserve"> [Springer Link, kostenpflichtig]</w:t>
      </w:r>
    </w:p>
    <w:p w14:paraId="2299E0DC" w14:textId="7AEE5479" w:rsidR="00A663E0" w:rsidRDefault="00A663E0" w:rsidP="00C77EC6">
      <w:r w:rsidRPr="00A663E0">
        <w:t xml:space="preserve">Auch nach Ende </w:t>
      </w:r>
      <w:r w:rsidR="00111D1B">
        <w:t>der verarbeitungsbezogenen</w:t>
      </w:r>
      <w:r w:rsidR="00512794">
        <w:t xml:space="preserve"> </w:t>
      </w:r>
      <w:r w:rsidRPr="00A663E0">
        <w:t xml:space="preserve">Datenschutzkommunikation </w:t>
      </w:r>
      <w:r w:rsidR="00111D1B">
        <w:t xml:space="preserve">ist die Datenschutzkommunikation </w:t>
      </w:r>
      <w:r w:rsidRPr="00A663E0">
        <w:t xml:space="preserve">noch nicht zu Ende: Meldung von Datenpannen und </w:t>
      </w:r>
      <w:r w:rsidR="004636D4">
        <w:t>andere Datenschutz-Krisen</w:t>
      </w:r>
      <w:r w:rsidR="00A475FB">
        <w:t>-PR</w:t>
      </w:r>
      <w:r w:rsidRPr="00A663E0">
        <w:t xml:space="preserve"> sind nicht nur rechtlich, sondern </w:t>
      </w:r>
      <w:r w:rsidR="00402574" w:rsidRPr="00A663E0">
        <w:t>ebenfalls</w:t>
      </w:r>
      <w:r w:rsidRPr="00A663E0">
        <w:t xml:space="preserve"> kommunikativ</w:t>
      </w:r>
      <w:r w:rsidR="003A00A5">
        <w:t xml:space="preserve"> besonders</w:t>
      </w:r>
      <w:r w:rsidRPr="00A663E0">
        <w:t xml:space="preserve"> herausfordernd.</w:t>
      </w:r>
    </w:p>
    <w:p w14:paraId="2D396C13" w14:textId="79B19F9B" w:rsidR="00125296" w:rsidRPr="00A663E0" w:rsidRDefault="00125296" w:rsidP="00C77EC6">
      <w:r w:rsidRPr="0060285B">
        <w:t xml:space="preserve">Typische </w:t>
      </w:r>
      <w:r w:rsidR="00A475FB">
        <w:t xml:space="preserve">Ursache für Datenpannen und Datenschutzverstöße </w:t>
      </w:r>
      <w:r w:rsidR="00402574">
        <w:t>ist,</w:t>
      </w:r>
      <w:r w:rsidRPr="0060285B">
        <w:t xml:space="preserve"> neben dem Fehlverhalten von Mitarbeitern</w:t>
      </w:r>
      <w:r w:rsidR="00402574">
        <w:t>,</w:t>
      </w:r>
      <w:r w:rsidRPr="0060285B">
        <w:t xml:space="preserve"> die fehlende Umsetzung gesetzlicher Vorgaben bezüglich organisatorischer und technischer Maßnahmen. Auch der sorglose Umgang mit IT-Technologie oder das unbedachte Einspielen von Updates </w:t>
      </w:r>
      <w:r w:rsidR="00533435">
        <w:t xml:space="preserve">kann </w:t>
      </w:r>
      <w:r w:rsidRPr="0060285B">
        <w:t>zu Problemen</w:t>
      </w:r>
      <w:r w:rsidR="00533435">
        <w:t xml:space="preserve"> führen</w:t>
      </w:r>
      <w:r w:rsidRPr="0060285B">
        <w:t xml:space="preserve">. </w:t>
      </w:r>
      <w:r w:rsidR="00C369FA">
        <w:t xml:space="preserve">Daneben ist </w:t>
      </w:r>
      <w:r w:rsidR="0060079E">
        <w:t xml:space="preserve">– </w:t>
      </w:r>
      <w:r w:rsidRPr="0060285B">
        <w:t xml:space="preserve">je nach Branche </w:t>
      </w:r>
      <w:r w:rsidR="0060079E">
        <w:t>–</w:t>
      </w:r>
      <w:r w:rsidRPr="0060285B">
        <w:t xml:space="preserve"> mit vorsätzlichen Angriffen auf die Dateninfrastruktur zu rechnen</w:t>
      </w:r>
      <w:r>
        <w:t>.</w:t>
      </w:r>
    </w:p>
    <w:p w14:paraId="5FEA5598" w14:textId="1848C30C" w:rsidR="00130316" w:rsidRDefault="006855EF" w:rsidP="00130316">
      <w:pPr>
        <w:pStyle w:val="berschrift5"/>
      </w:pPr>
      <w:bookmarkStart w:id="474" w:name="_Toc469776804"/>
      <w:bookmarkStart w:id="475" w:name="_Toc471812270"/>
      <w:bookmarkStart w:id="476" w:name="_Toc471818836"/>
      <w:bookmarkStart w:id="477" w:name="_Toc471826518"/>
      <w:bookmarkStart w:id="478" w:name="_Toc471828119"/>
      <w:bookmarkStart w:id="479" w:name="_Toc471829476"/>
      <w:bookmarkStart w:id="480" w:name="_Toc512241348"/>
      <w:r w:rsidRPr="00B01566">
        <w:t>Informierung bei Datenpannen</w:t>
      </w:r>
      <w:bookmarkEnd w:id="474"/>
      <w:r w:rsidR="00BC6D2F" w:rsidRPr="0060285B">
        <w:t>:</w:t>
      </w:r>
      <w:r w:rsidR="00BC6D2F">
        <w:t xml:space="preserve"> Data </w:t>
      </w:r>
      <w:proofErr w:type="spellStart"/>
      <w:r w:rsidR="00BC6D2F">
        <w:t>Breach</w:t>
      </w:r>
      <w:proofErr w:type="spellEnd"/>
      <w:r w:rsidR="00BC6D2F">
        <w:t xml:space="preserve"> </w:t>
      </w:r>
      <w:proofErr w:type="spellStart"/>
      <w:r w:rsidR="00BC6D2F">
        <w:t>Notifications</w:t>
      </w:r>
      <w:bookmarkEnd w:id="475"/>
      <w:bookmarkEnd w:id="476"/>
      <w:bookmarkEnd w:id="477"/>
      <w:bookmarkEnd w:id="478"/>
      <w:bookmarkEnd w:id="479"/>
      <w:bookmarkEnd w:id="480"/>
      <w:proofErr w:type="spellEnd"/>
    </w:p>
    <w:p w14:paraId="62C883E6" w14:textId="6A8ECD49" w:rsidR="00306B11" w:rsidRPr="00C02BF1" w:rsidRDefault="000D49E6" w:rsidP="00306B11">
      <w:pPr>
        <w:pStyle w:val="Schrifttum"/>
      </w:pPr>
      <w:r>
        <w:rPr>
          <w:i/>
        </w:rPr>
        <w:t>Artikel 29-</w:t>
      </w:r>
      <w:r w:rsidR="00306B11">
        <w:rPr>
          <w:i/>
        </w:rPr>
        <w:t xml:space="preserve">Gruppe, </w:t>
      </w:r>
      <w:r w:rsidR="00C02BF1" w:rsidRPr="00C02BF1">
        <w:t xml:space="preserve">Working Paper </w:t>
      </w:r>
      <w:r w:rsidR="00306B11" w:rsidRPr="00C02BF1">
        <w:t xml:space="preserve">WP250rev.01 Guidelines on Personal </w:t>
      </w:r>
      <w:proofErr w:type="spellStart"/>
      <w:r w:rsidR="00306B11" w:rsidRPr="00C02BF1">
        <w:t>data</w:t>
      </w:r>
      <w:proofErr w:type="spellEnd"/>
      <w:r w:rsidR="00306B11" w:rsidRPr="00C02BF1">
        <w:t xml:space="preserve"> </w:t>
      </w:r>
      <w:proofErr w:type="spellStart"/>
      <w:r w:rsidR="00306B11" w:rsidRPr="00C02BF1">
        <w:t>breach</w:t>
      </w:r>
      <w:proofErr w:type="spellEnd"/>
      <w:r w:rsidR="00306B11" w:rsidRPr="00C02BF1">
        <w:t xml:space="preserve"> </w:t>
      </w:r>
      <w:proofErr w:type="spellStart"/>
      <w:r w:rsidR="00306B11" w:rsidRPr="00C02BF1">
        <w:t>notification</w:t>
      </w:r>
      <w:proofErr w:type="spellEnd"/>
      <w:r w:rsidR="00306B11" w:rsidRPr="00C02BF1">
        <w:t xml:space="preserve"> </w:t>
      </w:r>
      <w:proofErr w:type="spellStart"/>
      <w:r w:rsidR="00306B11" w:rsidRPr="00C02BF1">
        <w:t>under</w:t>
      </w:r>
      <w:proofErr w:type="spellEnd"/>
      <w:r w:rsidR="00306B11" w:rsidRPr="00C02BF1">
        <w:t xml:space="preserve"> Regulation 2016/679, </w:t>
      </w:r>
      <w:r w:rsidR="00266ECE" w:rsidRPr="00C02BF1">
        <w:t>http://t1p.de/k4d [</w:t>
      </w:r>
      <w:r>
        <w:t>Artikel 29-</w:t>
      </w:r>
      <w:r w:rsidR="00266ECE" w:rsidRPr="00C02BF1">
        <w:t>Gruppe, kostenfrei]</w:t>
      </w:r>
      <w:r w:rsidR="00306B11" w:rsidRPr="00C02BF1">
        <w:t xml:space="preserve"> </w:t>
      </w:r>
    </w:p>
    <w:p w14:paraId="6E6A5754" w14:textId="2E44F2B9" w:rsidR="005F5BAE" w:rsidRDefault="006855EF" w:rsidP="00130316">
      <w:r>
        <w:t>Natürlich sollte der Fokus in der täglichen Arbeit in den vorher geschilderten Phasen liegen und Probleme mit Datenpannen durch technische und organisatorische Maßnahmen möglichst verhindert werden. Für den Fall, dass eine Datenpanne dennoch eintritt, sollte man aber vorbereitet sein.</w:t>
      </w:r>
      <w:r w:rsidR="001C6CD0">
        <w:t xml:space="preserve"> Eine Datenpanne sollte im Idealfall schnell entdeckt und anschließend beschränkt und beseitigt werden.</w:t>
      </w:r>
      <w:r w:rsidR="008E179A">
        <w:t xml:space="preserve"> Hierfür sind bereits im Vorfeld alle angemessenen technischen und organisatorischen </w:t>
      </w:r>
      <w:r w:rsidR="00B730DF">
        <w:t>Maßnahmen zu treffen.</w:t>
      </w:r>
    </w:p>
    <w:p w14:paraId="22F1CF42" w14:textId="42042E16" w:rsidR="006855EF" w:rsidRDefault="006855EF" w:rsidP="00F65E75">
      <w:r>
        <w:t xml:space="preserve">In Fall </w:t>
      </w:r>
      <w:r w:rsidR="005F5BAE">
        <w:t xml:space="preserve">einer Datenpanne </w:t>
      </w:r>
      <w:r>
        <w:t xml:space="preserve">sind aus Sicht der Datenschutzkommunikation zwei Problemkomplexe zu unterscheiden. Zum einen bestehen möglicherweise rechtliche Mitteilungspflichten. Dies kann sowohl gegenüber den Aufsichtsbehörden als auch gegenüber den </w:t>
      </w:r>
      <w:r w:rsidR="00CA510C">
        <w:t>B</w:t>
      </w:r>
      <w:r>
        <w:t xml:space="preserve">etroffenen der Fall sein. Bei vorsätzlichen Angriffen </w:t>
      </w:r>
      <w:r w:rsidR="00CA510C">
        <w:t>kann das Einschalten der Strafverfolgung</w:t>
      </w:r>
      <w:r w:rsidR="00351190">
        <w:t>sbehörden</w:t>
      </w:r>
      <w:r w:rsidR="00CA510C">
        <w:t xml:space="preserve"> angezeigt sein</w:t>
      </w:r>
      <w:r>
        <w:t>.</w:t>
      </w:r>
    </w:p>
    <w:p w14:paraId="1A2EB73D" w14:textId="0C3F07CE" w:rsidR="003E1A7F" w:rsidRDefault="003E1A7F" w:rsidP="005F7B19">
      <w:pPr>
        <w:pStyle w:val="berschrift6"/>
      </w:pPr>
      <w:bookmarkStart w:id="481" w:name="_Toc471812271"/>
      <w:bookmarkStart w:id="482" w:name="_Toc471818837"/>
      <w:bookmarkStart w:id="483" w:name="_Toc471826519"/>
      <w:bookmarkStart w:id="484" w:name="_Toc471828120"/>
      <w:bookmarkStart w:id="485" w:name="_Toc471829477"/>
      <w:bookmarkStart w:id="486" w:name="_Toc512241349"/>
      <w:r>
        <w:lastRenderedPageBreak/>
        <w:t>Verpflichtung und Verfahren</w:t>
      </w:r>
      <w:bookmarkEnd w:id="481"/>
      <w:bookmarkEnd w:id="482"/>
      <w:bookmarkEnd w:id="483"/>
      <w:bookmarkEnd w:id="484"/>
      <w:bookmarkEnd w:id="485"/>
      <w:bookmarkEnd w:id="486"/>
    </w:p>
    <w:p w14:paraId="0FF8E1A5" w14:textId="51A6B395" w:rsidR="00D3072E" w:rsidRDefault="006855EF" w:rsidP="00FD35D2">
      <w:r>
        <w:t>In Rahmen dieser Mitteilungen muss sich die Kommunikation zwingend nah an den gesetzlichen Vorgaben orientieren, damit den dort festgelegten Pflichten nachgekommen wird. Der Spielraum ist hier eher gering.</w:t>
      </w:r>
      <w:r w:rsidR="00AF681D">
        <w:t xml:space="preserve"> In der DSGVO ergeben sich Mitteilungspflichten aus Art.</w:t>
      </w:r>
      <w:r w:rsidR="000D49E6">
        <w:t> </w:t>
      </w:r>
      <w:r w:rsidR="00AF681D">
        <w:t xml:space="preserve">33 und 34. Weitere Pflichten bestehen momentan </w:t>
      </w:r>
      <w:r w:rsidR="00557C25">
        <w:t xml:space="preserve">noch </w:t>
      </w:r>
      <w:r w:rsidR="00AF681D">
        <w:t>im Rahmen der § 15a TMG; § 73 Abs. 1 S. 3 Messstellenbetriebsgesetz [</w:t>
      </w:r>
      <w:proofErr w:type="spellStart"/>
      <w:r w:rsidR="00AF681D">
        <w:t>MsbG</w:t>
      </w:r>
      <w:proofErr w:type="spellEnd"/>
      <w:r w:rsidR="00AF681D">
        <w:t>]; VO (EU) 611/2013; § 109a TKG.</w:t>
      </w:r>
    </w:p>
    <w:p w14:paraId="12AE5785" w14:textId="64ACE887" w:rsidR="00D3072E" w:rsidRDefault="00D3072E" w:rsidP="002D02A7">
      <w:pPr>
        <w:pStyle w:val="berschrift7"/>
      </w:pPr>
      <w:bookmarkStart w:id="487" w:name="_Toc471812272"/>
      <w:bookmarkStart w:id="488" w:name="_Toc471818838"/>
      <w:bookmarkStart w:id="489" w:name="_Toc471826520"/>
      <w:bookmarkStart w:id="490" w:name="_Toc471828121"/>
      <w:bookmarkStart w:id="491" w:name="_Toc471829478"/>
      <w:bookmarkStart w:id="492" w:name="_Toc512241350"/>
      <w:r>
        <w:t>Pflichten gegenüber der Aufsichtsbehörde</w:t>
      </w:r>
      <w:bookmarkEnd w:id="487"/>
      <w:bookmarkEnd w:id="488"/>
      <w:bookmarkEnd w:id="489"/>
      <w:bookmarkEnd w:id="490"/>
      <w:bookmarkEnd w:id="491"/>
      <w:bookmarkEnd w:id="492"/>
    </w:p>
    <w:p w14:paraId="3FA553C7" w14:textId="26206EF6" w:rsidR="00B730DF" w:rsidRDefault="00125296" w:rsidP="008649DF">
      <w:r>
        <w:t>D</w:t>
      </w:r>
      <w:r w:rsidR="003A00A5">
        <w:t>ie</w:t>
      </w:r>
      <w:r>
        <w:t xml:space="preserve"> Aufsichtsbehörden </w:t>
      </w:r>
      <w:r w:rsidR="003A00A5">
        <w:t>sind</w:t>
      </w:r>
      <w:r>
        <w:t xml:space="preserve"> nach Art. 33 Abs. 1 DSGVO</w:t>
      </w:r>
      <w:r w:rsidR="003A00A5">
        <w:t xml:space="preserve"> über</w:t>
      </w:r>
      <w:r>
        <w:t xml:space="preserve"> eine Verletzung des Schutz</w:t>
      </w:r>
      <w:r w:rsidR="00113855">
        <w:t>es</w:t>
      </w:r>
      <w:r>
        <w:t xml:space="preserve"> personenbezogener Daten</w:t>
      </w:r>
      <w:r w:rsidR="008649DF">
        <w:t>,</w:t>
      </w:r>
      <w:r w:rsidR="003A00A5">
        <w:t xml:space="preserve"> unverzüglich, </w:t>
      </w:r>
      <w:r w:rsidR="009A5FAB">
        <w:t>i</w:t>
      </w:r>
      <w:r w:rsidR="002502EB">
        <w:t>n aller Regel</w:t>
      </w:r>
      <w:r w:rsidR="003A00A5">
        <w:t xml:space="preserve"> binnen 72 Stunden nach Kenntnis</w:t>
      </w:r>
      <w:r w:rsidR="008649DF">
        <w:t>,</w:t>
      </w:r>
      <w:r>
        <w:t xml:space="preserve"> zu </w:t>
      </w:r>
      <w:r w:rsidR="008649DF">
        <w:t xml:space="preserve">informieren. Eine spätere Meldung muss eine Begründung für die Verzögerung beigelegt werden. </w:t>
      </w:r>
      <w:r w:rsidR="00A05D14">
        <w:t xml:space="preserve">Zumindest die vorhandenen Informationen sollten der Aufsichtsbehörde bereits innerhalb der Frist übermittelt und auf die noch nicht vorhandenen, nachzureichenden Angaben hingewiesen werden. </w:t>
      </w:r>
      <w:r w:rsidR="008649DF">
        <w:t xml:space="preserve">Gerade im Hinblick darauf, dass Einbrüche in die IT von Unternehmen und Behörden in Deutschland im Schnitt erst nach etwa eineinhalb Jahren entdeckt werden, ist das Abstellen auf den Moment des Bekanntwerdens essentiell. </w:t>
      </w:r>
      <w:r w:rsidR="00B730DF">
        <w:t xml:space="preserve">Dies kann durch ein eigenes Erkennen der Datenpanne, eine Information eines Betroffenen oder bspw. auch durch eine Medienberichterstattung </w:t>
      </w:r>
      <w:r w:rsidR="00C369FA">
        <w:t>eintreten</w:t>
      </w:r>
      <w:r w:rsidR="00B730DF">
        <w:t>.</w:t>
      </w:r>
    </w:p>
    <w:p w14:paraId="60093D4D" w14:textId="3A044417" w:rsidR="008649DF" w:rsidRDefault="008649DF" w:rsidP="008649DF"/>
    <w:p w14:paraId="5175817F" w14:textId="77777777" w:rsidR="0035069A" w:rsidRDefault="00125296" w:rsidP="0035069A">
      <w:r>
        <w:t xml:space="preserve"> Die Pflicht greift </w:t>
      </w:r>
      <w:r w:rsidR="003A00A5">
        <w:t>unabhängig von</w:t>
      </w:r>
      <w:r w:rsidR="00EA7F23">
        <w:t xml:space="preserve"> </w:t>
      </w:r>
      <w:r>
        <w:t xml:space="preserve">Vorsatz, </w:t>
      </w:r>
      <w:r w:rsidR="003A00A5">
        <w:t>Fahrlässigkeit oder Fehler Dritter</w:t>
      </w:r>
      <w:r>
        <w:t>.</w:t>
      </w:r>
      <w:r w:rsidR="00080CB7">
        <w:t xml:space="preserve"> Meldepflichtig ist jede Verletzung der Sicherheit, die zu Vernichtung, Verlust, Veränderung</w:t>
      </w:r>
      <w:r w:rsidR="003A00A5">
        <w:t>,</w:t>
      </w:r>
      <w:r w:rsidR="00080CB7">
        <w:t xml:space="preserve"> zu unbefugter Offenlegung oder zu unbefugtem Zugang zu persönlichen Daten führt</w:t>
      </w:r>
      <w:r w:rsidR="008649DF">
        <w:t xml:space="preserve"> (Art. 4 Nr. 12 DSGVO)</w:t>
      </w:r>
      <w:r w:rsidR="00080CB7">
        <w:t>.</w:t>
      </w:r>
      <w:r w:rsidR="00C977D9">
        <w:t xml:space="preserve"> </w:t>
      </w:r>
    </w:p>
    <w:tbl>
      <w:tblPr>
        <w:tblStyle w:val="Tabellenraster"/>
        <w:tblW w:w="0" w:type="auto"/>
        <w:tblLook w:val="04A0" w:firstRow="1" w:lastRow="0" w:firstColumn="1" w:lastColumn="0" w:noHBand="0" w:noVBand="1"/>
      </w:tblPr>
      <w:tblGrid>
        <w:gridCol w:w="9062"/>
      </w:tblGrid>
      <w:tr w:rsidR="0035069A" w14:paraId="63C28324" w14:textId="77777777" w:rsidTr="0035069A">
        <w:tc>
          <w:tcPr>
            <w:tcW w:w="9212" w:type="dxa"/>
          </w:tcPr>
          <w:p w14:paraId="225D0154" w14:textId="77777777" w:rsidR="0035069A" w:rsidRPr="0035069A" w:rsidRDefault="0035069A" w:rsidP="0035069A">
            <w:pPr>
              <w:rPr>
                <w:b/>
              </w:rPr>
            </w:pPr>
            <w:r w:rsidRPr="0035069A">
              <w:rPr>
                <w:b/>
              </w:rPr>
              <w:t>Die Artikel 29-Gruppe bildet in ihrem Working-Paper hierzu drei Fallgruppen:</w:t>
            </w:r>
          </w:p>
          <w:p w14:paraId="6508B96C" w14:textId="77777777" w:rsidR="0035069A" w:rsidRDefault="0035069A" w:rsidP="0035069A">
            <w:r>
              <w:t>•</w:t>
            </w:r>
            <w:r>
              <w:tab/>
              <w:t>Die Verletzung der Vertraulichkeit der Daten: bspw. durch unberechtigten oder unbeabsichtigten Zugang zu personenbezogenen Daten</w:t>
            </w:r>
          </w:p>
          <w:p w14:paraId="1ABE5022" w14:textId="77777777" w:rsidR="0035069A" w:rsidRDefault="0035069A" w:rsidP="0035069A">
            <w:r>
              <w:t>•</w:t>
            </w:r>
            <w:r>
              <w:tab/>
              <w:t>Die Verletzung der Integrität der Daten: bspw. durch unberechtigte oder unbeabsichtigte Möglichkeit zur Änderung der Daten</w:t>
            </w:r>
          </w:p>
          <w:p w14:paraId="28586FB7" w14:textId="1214F169" w:rsidR="0035069A" w:rsidRDefault="0035069A" w:rsidP="0035069A">
            <w:r>
              <w:t>•</w:t>
            </w:r>
            <w:r>
              <w:tab/>
              <w:t>Verletzungen der Verfügbarkeit der Daten: bspw. durch unberechtigten oder unbeabsichtigten Verlust des Zugangs zu Daten</w:t>
            </w:r>
          </w:p>
        </w:tc>
      </w:tr>
    </w:tbl>
    <w:p w14:paraId="234B3649" w14:textId="67660FB5" w:rsidR="0035069A" w:rsidRDefault="0035069A" w:rsidP="0035069A"/>
    <w:p w14:paraId="071E4CCF" w14:textId="6C6AB17D" w:rsidR="00264B78" w:rsidRDefault="00264B78" w:rsidP="00264B78">
      <w:r>
        <w:t xml:space="preserve">Gerade die letzte Fallgruppe sollte hier in der Praxis im Auge behalten werden, da hier der Trugschluss entstehen könne, dass ein Verlust des Zugriffs für die Verantwortliche Stelle kein meldepflichtiger Verstoß sei. Dies ist aber nach Ansicht der </w:t>
      </w:r>
      <w:r w:rsidR="000D49E6">
        <w:t>Artikel 29-</w:t>
      </w:r>
      <w:r>
        <w:t>Gruppe der Fall.</w:t>
      </w:r>
      <w:r w:rsidR="00B730DF" w:rsidRPr="00B730DF">
        <w:t xml:space="preserve"> </w:t>
      </w:r>
      <w:r w:rsidR="00B730DF">
        <w:t>Eine bloße Verletzung der IT-Infrastruktur ist hingegen nicht meldepflichtig, wenn kein Zugriff auf personenbezogene Daten erfolgt ist.</w:t>
      </w:r>
    </w:p>
    <w:p w14:paraId="509636C6" w14:textId="454D9F58" w:rsidR="00F510E6" w:rsidRDefault="00420FAE" w:rsidP="00F510E6">
      <w:r>
        <w:t>Entfallen kann die Pflicht zur Mitteilung, wenn voraussichtlich kein Risiko für Rechte und Freiheiten v</w:t>
      </w:r>
      <w:r w:rsidR="002C650F">
        <w:t>on natürlichen Personen besteht (</w:t>
      </w:r>
      <w:r>
        <w:t>Art. 33 Abs.</w:t>
      </w:r>
      <w:r w:rsidR="007423A5">
        <w:t> </w:t>
      </w:r>
      <w:r>
        <w:t xml:space="preserve">1 </w:t>
      </w:r>
      <w:proofErr w:type="spellStart"/>
      <w:r>
        <w:t>Hs</w:t>
      </w:r>
      <w:proofErr w:type="spellEnd"/>
      <w:r>
        <w:t>. 2 DSGVO</w:t>
      </w:r>
      <w:r w:rsidR="002C650F">
        <w:t>)</w:t>
      </w:r>
      <w:r>
        <w:t>. In Zusammenschau mit den Haftungs- und Sanktionsvorschriften ist hier vor allem auf die Wahrscheinlichkeit des Eintritts von materiellen und immateriellen Schäden abzustellen</w:t>
      </w:r>
      <w:r w:rsidR="008649DF">
        <w:t xml:space="preserve"> (vgl. Erwägungsgrund 85 der DSGVO)</w:t>
      </w:r>
      <w:r>
        <w:t>. Je nach</w:t>
      </w:r>
      <w:r w:rsidR="00F510E6">
        <w:t xml:space="preserve"> Art der</w:t>
      </w:r>
      <w:r>
        <w:t xml:space="preserve"> gespeicherten Daten</w:t>
      </w:r>
      <w:r w:rsidR="008649DF">
        <w:t xml:space="preserve"> und Umfang eines Datenverlusts</w:t>
      </w:r>
      <w:r>
        <w:t xml:space="preserve"> bestehen hier ganz erhebliche Risiken</w:t>
      </w:r>
      <w:r w:rsidR="008C3F70">
        <w:t>, es sei denn, die Daten wurden allein im Interesse des Verantwortlichen erhoben, unterliegen nicht besonderen gesetzlichen oder vertraglichen Aufbewahrungspflichten und es ist ausgeschlossen, dass Dritte die Daten zur Kenntnis genommen haben („Laptop fällt auf hoher See ins Wasser“</w:t>
      </w:r>
      <w:r w:rsidR="006F0B38">
        <w:t>; Verschlüsselung nach dem Stand der Technik</w:t>
      </w:r>
      <w:r w:rsidR="008C3F70">
        <w:t>)</w:t>
      </w:r>
      <w:r>
        <w:t xml:space="preserve">. Die Prognose ist dabei methodisch sorgfältig zu erstellen und </w:t>
      </w:r>
      <w:r w:rsidR="00105284">
        <w:t xml:space="preserve">im Nachhinein </w:t>
      </w:r>
      <w:r>
        <w:t>gerichtlich voll überprüfbar</w:t>
      </w:r>
      <w:r w:rsidR="00F510E6">
        <w:t>.</w:t>
      </w:r>
      <w:r w:rsidR="006F0B38">
        <w:t xml:space="preserve"> Zu berücksichtigende Risiken sind die Einschränkung von Rechten, Diskriminierung, Identitätsdiebstahl, finanzielle Verluste, die</w:t>
      </w:r>
      <w:r w:rsidR="008E179A">
        <w:t xml:space="preserve"> unberechtigte</w:t>
      </w:r>
      <w:r w:rsidR="006F0B38">
        <w:t xml:space="preserve"> </w:t>
      </w:r>
      <w:r w:rsidR="001C6CD0">
        <w:t xml:space="preserve">Rückgängigmachung von </w:t>
      </w:r>
      <w:proofErr w:type="spellStart"/>
      <w:r w:rsidR="001C6CD0" w:rsidRPr="001C6CD0">
        <w:t>Pseudonymisierung</w:t>
      </w:r>
      <w:proofErr w:type="spellEnd"/>
      <w:r w:rsidR="001C6CD0">
        <w:t xml:space="preserve">, </w:t>
      </w:r>
      <w:r w:rsidR="008E179A">
        <w:t>Rufschädigungen, Verlust der Vertraulichkeit bestimmter Daten insb. auch in Verbindung mit Berufsgeheimnissen.</w:t>
      </w:r>
    </w:p>
    <w:p w14:paraId="133AD0C7" w14:textId="29EC83FA" w:rsidR="00C977D9" w:rsidRDefault="00221616" w:rsidP="00F510E6">
      <w:r>
        <w:lastRenderedPageBreak/>
        <w:t>Empfohlen wird von den Aufsichtsbehörden daher die Erstellung einer umfassenden Dokumentation über Datenpannen, unabhängig vom Bestehen der Meldepflicht. Mithilfe dieser Dokumentation kann bei einer Überprüfung nachgewiesen werden, dass eine Informierungspflicht nicht bestand und es können die Gründe für ein</w:t>
      </w:r>
      <w:r w:rsidR="000D49E6">
        <w:t xml:space="preserve"> Überschreiten der 72-Stunden-</w:t>
      </w:r>
      <w:r w:rsidR="00A05D14">
        <w:t>Frist plausibel gemacht werden.</w:t>
      </w:r>
    </w:p>
    <w:p w14:paraId="7CCAE99D" w14:textId="346DDD1A" w:rsidR="00D3072E" w:rsidRDefault="00D3072E" w:rsidP="002D02A7">
      <w:pPr>
        <w:pStyle w:val="berschrift7"/>
      </w:pPr>
      <w:bookmarkStart w:id="493" w:name="_Toc471812273"/>
      <w:bookmarkStart w:id="494" w:name="_Toc471818839"/>
      <w:bookmarkStart w:id="495" w:name="_Toc471826521"/>
      <w:bookmarkStart w:id="496" w:name="_Toc471828122"/>
      <w:bookmarkStart w:id="497" w:name="_Toc471829479"/>
      <w:bookmarkStart w:id="498" w:name="_Toc512241351"/>
      <w:r>
        <w:t>Pflichten gegenüber den Betroffenen</w:t>
      </w:r>
      <w:bookmarkEnd w:id="493"/>
      <w:bookmarkEnd w:id="494"/>
      <w:bookmarkEnd w:id="495"/>
      <w:bookmarkEnd w:id="496"/>
      <w:bookmarkEnd w:id="497"/>
      <w:bookmarkEnd w:id="498"/>
    </w:p>
    <w:p w14:paraId="26307E4D" w14:textId="68BD0B88" w:rsidR="00C51E13" w:rsidRDefault="00420FAE" w:rsidP="00F65E75">
      <w:r>
        <w:t xml:space="preserve">In besonderen Fällen sind </w:t>
      </w:r>
      <w:r w:rsidR="001317D4">
        <w:t>zusätzlich</w:t>
      </w:r>
      <w:r>
        <w:t xml:space="preserve"> die Betroffenen selber zu informieren. Die Regelungen hierzu enthält Art. 34 DSGVO. Die Meldepflicht den Betroffenen gegenüber tritt allerdings nur in dem Fall ein, dass ein „hohes Risiko“ für deren Rechte und Freiheiten besteht. Während die Mitteilung an die Aufsichtsbehörde im Fall einer Verletzung also</w:t>
      </w:r>
      <w:r w:rsidR="008C3F70">
        <w:t xml:space="preserve"> im Zweifel erfolgen sollte</w:t>
      </w:r>
      <w:r>
        <w:t>, ist die an den Betroffenen selb</w:t>
      </w:r>
      <w:r w:rsidR="00C86A18">
        <w:t>st</w:t>
      </w:r>
      <w:r>
        <w:t xml:space="preserve"> die Ausnahme. Art. 34 Abs. 3 DSGVO enthält </w:t>
      </w:r>
      <w:r w:rsidR="00D01947">
        <w:t>darüber hinaus</w:t>
      </w:r>
      <w:r>
        <w:t xml:space="preserve"> noch konkretere Fälle, in denen die Mitteilung an die Betroffenen in jedem Fall ausscheidet</w:t>
      </w:r>
      <w:r w:rsidRPr="00D265BB">
        <w:t>. Dies gilt vor allem bei Abhandenkommen ohnehin ausreichend verschlüsselter Daten (</w:t>
      </w:r>
      <w:proofErr w:type="spellStart"/>
      <w:r w:rsidRPr="00D265BB">
        <w:t>lit</w:t>
      </w:r>
      <w:proofErr w:type="spellEnd"/>
      <w:r w:rsidRPr="00D265BB">
        <w:t>. a), bei Ausschluss eines hohen Risikos für die Betroffenen zwischen Mitteilung an die Aufsichtsbehörde und möglicher Benachrichtigung der Betroffenen (</w:t>
      </w:r>
      <w:proofErr w:type="spellStart"/>
      <w:r w:rsidRPr="00D265BB">
        <w:t>lit</w:t>
      </w:r>
      <w:proofErr w:type="spellEnd"/>
      <w:r w:rsidRPr="00D265BB">
        <w:t xml:space="preserve">. b) und insbesondere in dem Fall, wenn die Benachrichtigung mit einem unverhältnismäßigen Aufwand </w:t>
      </w:r>
      <w:r w:rsidR="0028701B" w:rsidRPr="00D265BB">
        <w:t xml:space="preserve">verbunden wäre </w:t>
      </w:r>
      <w:r w:rsidRPr="00D265BB">
        <w:t>(</w:t>
      </w:r>
      <w:proofErr w:type="spellStart"/>
      <w:r w:rsidRPr="00D265BB">
        <w:t>lit</w:t>
      </w:r>
      <w:proofErr w:type="spellEnd"/>
      <w:r w:rsidRPr="00D265BB">
        <w:t>. c).</w:t>
      </w:r>
      <w:r>
        <w:t xml:space="preserve"> Im letzten Fall ist das allerdings ersatzweise eine öffentliche Bekanntmachung oder ähnlich wirksame Maßnahme zur Informierung zu treffen. Die möglichen </w:t>
      </w:r>
      <w:r w:rsidR="00C86A18">
        <w:t xml:space="preserve">kommunikativen </w:t>
      </w:r>
      <w:r>
        <w:t>Folgen einer solchen öffentlichen Mitteilung sollten bei der Entscheidung, sich auf einen unverhältnismäßigen Aufwand zu berufen, berücksichtigt werden.</w:t>
      </w:r>
      <w:bookmarkStart w:id="499" w:name="_Toc471812274"/>
      <w:bookmarkStart w:id="500" w:name="_Toc471818840"/>
      <w:bookmarkStart w:id="501" w:name="_Toc471826522"/>
    </w:p>
    <w:p w14:paraId="0FBDC553" w14:textId="37948820" w:rsidR="000B2E2F" w:rsidRDefault="000B2E2F" w:rsidP="00F65E75">
      <w:r>
        <w:t>Wann ein „hohes Risiko“ für die Rechte und Freiheiten Betroffener vorliegt, ist wiederum von der DSGVO nicht ausdrücklich festgelegt</w:t>
      </w:r>
      <w:r w:rsidR="009A5FAB">
        <w:t>. Der</w:t>
      </w:r>
      <w:r>
        <w:t xml:space="preserve"> Europäische Datenschutzausschuss </w:t>
      </w:r>
      <w:r w:rsidR="009A5FAB">
        <w:t>wird</w:t>
      </w:r>
      <w:r>
        <w:t xml:space="preserve"> Leitlinien festlegen. Maßgeblich</w:t>
      </w:r>
      <w:r w:rsidR="00AF0869">
        <w:t xml:space="preserve"> </w:t>
      </w:r>
      <w:r>
        <w:t>zu berücksichtigen</w:t>
      </w:r>
      <w:r w:rsidR="00AF0869">
        <w:t xml:space="preserve"> sind</w:t>
      </w:r>
      <w:r>
        <w:t xml:space="preserve"> neben physischen und psychischen Schäden auch Diskriminierungsgefahren, </w:t>
      </w:r>
      <w:r w:rsidR="00AF0869">
        <w:t xml:space="preserve">der Grad der </w:t>
      </w:r>
      <w:r>
        <w:t>Rufschädigung und mittelbare Auswirkungen auf die freie Entfaltung der Persönlichkeit im Privat- und Berufsleben</w:t>
      </w:r>
      <w:r w:rsidR="00AF0869">
        <w:t xml:space="preserve"> des Betroffenen</w:t>
      </w:r>
      <w:r>
        <w:t>. Dabei muss aber gleichzeitig die Eintrittswahrscheinlichkeit des Schadens zumindest signifikant erhöht sein (vgl. zur Orientierung die Erwägungsgründe 75 u. 85).</w:t>
      </w:r>
    </w:p>
    <w:p w14:paraId="6717314E" w14:textId="2C6CCF3F" w:rsidR="00C51E13" w:rsidRDefault="00C51E13" w:rsidP="00A87D53">
      <w:pPr>
        <w:pStyle w:val="berschrift7"/>
      </w:pPr>
      <w:bookmarkStart w:id="502" w:name="_Toc471828123"/>
      <w:bookmarkStart w:id="503" w:name="_Toc471829480"/>
      <w:bookmarkStart w:id="504" w:name="_Toc512241352"/>
      <w:r>
        <w:t>Haftung und Sanktionen</w:t>
      </w:r>
      <w:bookmarkEnd w:id="502"/>
      <w:bookmarkEnd w:id="503"/>
      <w:bookmarkEnd w:id="504"/>
    </w:p>
    <w:p w14:paraId="115845BF" w14:textId="17A9FB6D" w:rsidR="00C51E13" w:rsidRDefault="00C51E13">
      <w:r>
        <w:t>Gerade für den Fall einer Datenpanne ist auf die damit verbunden Haftungs- und Sanktionsrisiken hinzuweisen.</w:t>
      </w:r>
    </w:p>
    <w:p w14:paraId="6672D45F" w14:textId="18349246" w:rsidR="00C51E13" w:rsidRDefault="00C51E13">
      <w:r>
        <w:t>Dies gilt einmal in Anknüpfung an die</w:t>
      </w:r>
      <w:r w:rsidR="002A1808">
        <w:t xml:space="preserve"> </w:t>
      </w:r>
      <w:r>
        <w:t>Panne selbst: Nach Art. 82 Abs. 1 DSGVO ist eine umfangreiche Haftung für materielle oder immaterielle Schäden vorgesehen, die dem Betroffenen aus Verstößen entstehen.</w:t>
      </w:r>
    </w:p>
    <w:p w14:paraId="51AA99DC" w14:textId="2B3456A9" w:rsidR="00C51E13" w:rsidRPr="00C51E13" w:rsidRDefault="00C51E13">
      <w:r>
        <w:t xml:space="preserve">Daneben sind die obigen Kommunikationspflichten aus Art. 33 und 34 DSGVO gegenüber Aufsichtsbehörde und Betroffenem bußgeldbewehrt, </w:t>
      </w:r>
      <w:r w:rsidR="00E721BD">
        <w:t>Art. 83 Abs. 4 DSGVO. Nicht nur aus Kommunikationssicht bestehen hier also große Anreize für eine gute Informierung.</w:t>
      </w:r>
    </w:p>
    <w:p w14:paraId="68F50EC3" w14:textId="390742E1" w:rsidR="003E1A7F" w:rsidRDefault="003E1A7F" w:rsidP="005F7B19">
      <w:pPr>
        <w:pStyle w:val="berschrift6"/>
      </w:pPr>
      <w:bookmarkStart w:id="505" w:name="_Toc471828124"/>
      <w:bookmarkStart w:id="506" w:name="_Toc471829481"/>
      <w:bookmarkStart w:id="507" w:name="_Toc512241353"/>
      <w:r>
        <w:t>Inhaltliche Anforderungen</w:t>
      </w:r>
      <w:bookmarkEnd w:id="499"/>
      <w:bookmarkEnd w:id="500"/>
      <w:bookmarkEnd w:id="501"/>
      <w:bookmarkEnd w:id="505"/>
      <w:bookmarkEnd w:id="506"/>
      <w:bookmarkEnd w:id="507"/>
    </w:p>
    <w:p w14:paraId="75998B1E" w14:textId="3D9CC17E" w:rsidR="00080CB7" w:rsidRDefault="00080CB7" w:rsidP="00F65E75">
      <w:r>
        <w:t xml:space="preserve">Den Inhalt der Meldung beschreibt Art. 33 Abs. 3 DSGVO. Dies umfasst eine möglichst detaillierte Angabe der betroffenen Daten und der möglichen Anzahl von Betroffenen, die Angabe von Kontaktdaten für die Aufsichtsstelle für weitere Rücksprache, insbesondere </w:t>
      </w:r>
      <w:r w:rsidR="00774656">
        <w:t>auch</w:t>
      </w:r>
      <w:r>
        <w:t xml:space="preserve"> die </w:t>
      </w:r>
      <w:r w:rsidR="00774656">
        <w:t>Kontaktdaten</w:t>
      </w:r>
      <w:r>
        <w:t xml:space="preserve"> des möglicherweise benannten Datenschutzbeauftragten</w:t>
      </w:r>
      <w:r w:rsidR="00774656">
        <w:t>.</w:t>
      </w:r>
      <w:r w:rsidR="00EA7F23">
        <w:t xml:space="preserve"> </w:t>
      </w:r>
      <w:r w:rsidR="00774656">
        <w:t>Darüber hinaus sind</w:t>
      </w:r>
      <w:r>
        <w:t xml:space="preserve"> eine Beschreibung der wahrscheinlichen Folgen der Datenpanne und</w:t>
      </w:r>
      <w:r w:rsidR="00774656">
        <w:t xml:space="preserve"> </w:t>
      </w:r>
      <w:r>
        <w:t xml:space="preserve">der von der </w:t>
      </w:r>
      <w:r w:rsidR="00BF3791">
        <w:t>Verantwortlichen Stelle</w:t>
      </w:r>
      <w:r>
        <w:t xml:space="preserve"> bereits getroffenen oder vorgeschlagenen Maßnahmen zur Eindämmung des Problems</w:t>
      </w:r>
      <w:r w:rsidR="00774656">
        <w:t xml:space="preserve"> nötig</w:t>
      </w:r>
      <w:r>
        <w:t>.</w:t>
      </w:r>
    </w:p>
    <w:p w14:paraId="2197D936" w14:textId="2896D55C" w:rsidR="00DC1AA7" w:rsidRDefault="00277F5D" w:rsidP="00F65E75">
      <w:r>
        <w:t xml:space="preserve">Von </w:t>
      </w:r>
      <w:proofErr w:type="gramStart"/>
      <w:r>
        <w:t xml:space="preserve">der </w:t>
      </w:r>
      <w:r w:rsidR="000D49E6">
        <w:t>Artikel</w:t>
      </w:r>
      <w:proofErr w:type="gramEnd"/>
      <w:r w:rsidR="000D49E6">
        <w:t xml:space="preserve"> 29-</w:t>
      </w:r>
      <w:r w:rsidR="00DC1AA7">
        <w:t xml:space="preserve">Gruppe </w:t>
      </w:r>
      <w:r w:rsidR="00D60787">
        <w:t>werden als Beispiele für Beschreibungen der Betroffenen</w:t>
      </w:r>
      <w:r w:rsidR="00C369FA">
        <w:t>gruppen</w:t>
      </w:r>
      <w:r w:rsidR="00D60787">
        <w:t xml:space="preserve"> Kinder, andere benachteiligte Gruppen, Menschen mit Behinderung, Arbeitnehmer oder </w:t>
      </w:r>
      <w:r w:rsidR="00D60787">
        <w:lastRenderedPageBreak/>
        <w:t xml:space="preserve">Kunden angeführt. </w:t>
      </w:r>
      <w:r w:rsidR="004A7F28">
        <w:t>Mögliche Arten von betroffenen Daten könnten bspw. Gesundheitsdaten, Bildungsbiographien und Noten, Daten mit sozial- und Pflegebezug, Finanzdaten, Bankdaten, Ausweisnummern oder ähnliches sein.</w:t>
      </w:r>
    </w:p>
    <w:p w14:paraId="6891457E" w14:textId="007A6B30" w:rsidR="00277F5D" w:rsidRDefault="00277F5D" w:rsidP="00F65E75">
      <w:r>
        <w:t>Gerade die Zahl der Betroffenen kann dabei auch geschätzt werden und muss innerhalb von 72 Stunden nicht präzise ermittelt werden.</w:t>
      </w:r>
    </w:p>
    <w:p w14:paraId="78A4B87D" w14:textId="20AB2C9A" w:rsidR="00080CB7" w:rsidRDefault="00D01947" w:rsidP="00F65E75">
      <w:r>
        <w:t>Die</w:t>
      </w:r>
      <w:r w:rsidR="00080CB7">
        <w:t xml:space="preserve"> Informationen </w:t>
      </w:r>
      <w:r>
        <w:t xml:space="preserve">können </w:t>
      </w:r>
      <w:r w:rsidR="00080CB7">
        <w:t xml:space="preserve">gemäß Art. 33 Abs. 4 DSGVO später nachgereicht werden, sofern dies </w:t>
      </w:r>
      <w:r>
        <w:t>im Einzelfall</w:t>
      </w:r>
      <w:r w:rsidR="00080CB7">
        <w:t xml:space="preserve"> nicht anders möglich ist. Art. 33 Abs. 5 DSGVO verlangt darüber hinaus </w:t>
      </w:r>
      <w:r w:rsidR="00D3431E">
        <w:t xml:space="preserve">das Anlegen </w:t>
      </w:r>
      <w:r w:rsidR="00080CB7">
        <w:t>eine</w:t>
      </w:r>
      <w:r w:rsidR="00D3431E">
        <w:t>r</w:t>
      </w:r>
      <w:r w:rsidR="00080CB7">
        <w:t xml:space="preserve"> umfangreicher</w:t>
      </w:r>
      <w:r w:rsidR="0028701B">
        <w:t>en</w:t>
      </w:r>
      <w:r w:rsidR="00080CB7">
        <w:t>, überprüfbare</w:t>
      </w:r>
      <w:r w:rsidR="0028701B">
        <w:t>n</w:t>
      </w:r>
      <w:r w:rsidR="00080CB7">
        <w:t xml:space="preserve"> Dokumentation der Verletzung selber und der zur Minderung der Folgen getroffenen Maßnahmen.</w:t>
      </w:r>
    </w:p>
    <w:p w14:paraId="55A7C2F2" w14:textId="1D36E966" w:rsidR="0060285B" w:rsidRDefault="00B21FA3" w:rsidP="00F65E75">
      <w:r w:rsidRPr="00D265BB">
        <w:t>Die Mitteilung an den Betroffenen selb</w:t>
      </w:r>
      <w:r w:rsidR="00D5487C" w:rsidRPr="00D265BB">
        <w:t>st</w:t>
      </w:r>
      <w:r w:rsidRPr="00D265BB">
        <w:t xml:space="preserve"> ist in klarer und einfacher Sprache zu verfassen</w:t>
      </w:r>
      <w:r w:rsidR="00D5487C" w:rsidRPr="00D265BB">
        <w:t xml:space="preserve"> (</w:t>
      </w:r>
      <w:r w:rsidR="000D49E6" w:rsidRPr="00D265BB">
        <w:t>Art. </w:t>
      </w:r>
      <w:r w:rsidRPr="00D265BB">
        <w:t>34 Abs. 1 DSGVO</w:t>
      </w:r>
      <w:r w:rsidR="00D5487C" w:rsidRPr="00D265BB">
        <w:t>)</w:t>
      </w:r>
      <w:r w:rsidRPr="00D265BB">
        <w:t xml:space="preserve">. </w:t>
      </w:r>
      <w:r w:rsidR="00D01947" w:rsidRPr="00D265BB">
        <w:t>Diesbezüglich</w:t>
      </w:r>
      <w:r w:rsidRPr="00D265BB">
        <w:t xml:space="preserve"> kann auf die obigen Ausführungen zu zielgruppenorientierter Kommunikation verwiesen werden</w:t>
      </w:r>
      <w:r w:rsidR="00A65116" w:rsidRPr="00D265BB">
        <w:t xml:space="preserve"> (II.3.b.cc.)</w:t>
      </w:r>
      <w:r w:rsidRPr="00D265BB">
        <w:t>. Abweichungen von den möglicherweise sehr juristisch oder technisch geprägten Ausführungen für die fachlich vorgebildeten Aufsichtsbehörden sind hier empfehlenswert.</w:t>
      </w:r>
    </w:p>
    <w:p w14:paraId="6FD694FF" w14:textId="61F14B9C" w:rsidR="003B70CC" w:rsidRDefault="003B70CC" w:rsidP="00F65E75">
      <w:pPr>
        <w:pStyle w:val="berschrift6"/>
      </w:pPr>
      <w:bookmarkStart w:id="508" w:name="_Toc471812275"/>
      <w:bookmarkStart w:id="509" w:name="_Toc471818841"/>
      <w:bookmarkStart w:id="510" w:name="_Toc471826523"/>
      <w:bookmarkStart w:id="511" w:name="_Toc471828125"/>
      <w:bookmarkStart w:id="512" w:name="_Toc471829482"/>
      <w:bookmarkStart w:id="513" w:name="_Toc512241354"/>
      <w:r>
        <w:t xml:space="preserve">Zusätzliche Felder der </w:t>
      </w:r>
      <w:r w:rsidR="00124ECD">
        <w:t>K</w:t>
      </w:r>
      <w:r>
        <w:t>ommunikation</w:t>
      </w:r>
      <w:bookmarkEnd w:id="508"/>
      <w:bookmarkEnd w:id="509"/>
      <w:bookmarkEnd w:id="510"/>
      <w:r w:rsidR="00124ECD">
        <w:t xml:space="preserve"> von Datenpannen</w:t>
      </w:r>
      <w:bookmarkEnd w:id="511"/>
      <w:bookmarkEnd w:id="512"/>
      <w:bookmarkEnd w:id="513"/>
    </w:p>
    <w:p w14:paraId="5EA6BD0C" w14:textId="40B9619C" w:rsidR="002A4437" w:rsidRPr="002D02A7" w:rsidRDefault="002A4437" w:rsidP="00FD5D6C">
      <w:pPr>
        <w:pStyle w:val="Schrifttum"/>
        <w:jc w:val="left"/>
      </w:pPr>
      <w:r w:rsidRPr="00377B61">
        <w:rPr>
          <w:i/>
        </w:rPr>
        <w:t>Bräuning/</w:t>
      </w:r>
      <w:proofErr w:type="spellStart"/>
      <w:r w:rsidRPr="00377B61">
        <w:rPr>
          <w:i/>
        </w:rPr>
        <w:t>Thießen</w:t>
      </w:r>
      <w:proofErr w:type="spellEnd"/>
      <w:r w:rsidRPr="00377B61">
        <w:t xml:space="preserve">, Reden ist Silber, Schweigen auch, in: Rademacher/Schmitt-Geiger, </w:t>
      </w:r>
      <w:proofErr w:type="spellStart"/>
      <w:r w:rsidRPr="00377B61">
        <w:t>Litigation</w:t>
      </w:r>
      <w:proofErr w:type="spellEnd"/>
      <w:r w:rsidRPr="00377B61">
        <w:t>-PR: Alles was Recht ist,</w:t>
      </w:r>
      <w:r>
        <w:t xml:space="preserve"> Springer </w:t>
      </w:r>
      <w:r w:rsidRPr="00377B61">
        <w:t xml:space="preserve">2012, S. 93 </w:t>
      </w:r>
      <w:r>
        <w:t>ff.</w:t>
      </w:r>
    </w:p>
    <w:p w14:paraId="0FFFF88A" w14:textId="38A6BE12" w:rsidR="0060285B" w:rsidRDefault="002428A0" w:rsidP="00F65E75">
      <w:pPr>
        <w:pStyle w:val="berschrift7"/>
      </w:pPr>
      <w:bookmarkStart w:id="514" w:name="_Toc471812276"/>
      <w:bookmarkStart w:id="515" w:name="_Toc471818842"/>
      <w:bookmarkStart w:id="516" w:name="_Toc471826524"/>
      <w:bookmarkStart w:id="517" w:name="_Toc471828126"/>
      <w:bookmarkStart w:id="518" w:name="_Toc471829483"/>
      <w:bookmarkStart w:id="519" w:name="_Toc512241355"/>
      <w:r>
        <w:t xml:space="preserve">(Freiwillige) </w:t>
      </w:r>
      <w:r w:rsidR="0060285B">
        <w:t>Kommunikation mit der Öffentlichkeit</w:t>
      </w:r>
      <w:bookmarkEnd w:id="514"/>
      <w:bookmarkEnd w:id="515"/>
      <w:bookmarkEnd w:id="516"/>
      <w:bookmarkEnd w:id="517"/>
      <w:bookmarkEnd w:id="518"/>
      <w:bookmarkEnd w:id="519"/>
    </w:p>
    <w:p w14:paraId="5EF1E157" w14:textId="12B2512C" w:rsidR="0060285B" w:rsidRDefault="0060285B" w:rsidP="00F65E75">
      <w:r>
        <w:t xml:space="preserve">Interessanter aus Sicht der Datenschutzkommunikation ist der Umgang mit der Datenpanne in der Öffentlichkeit. Die Öffentlichkeit kann zum einen aus eigenem Antrieb gesucht werden, zum anderen besteht aber bei einer großen Zahl von Betroffenen immer das Risiko, dass Dritte über die eigene Datenpanne berichten. In diesem Bereich sind der Kommunikation zumindest aus rechtlicher Sicht wenige Grenzen gesetzt. Hier geht es um die sinnvolle Nutzung von Krisen-PR, die aber innerhalb der Kommunikationswissenschaften nicht unumstritten ist und nicht zuletzt </w:t>
      </w:r>
      <w:r w:rsidR="001317D4">
        <w:t>auch</w:t>
      </w:r>
      <w:r>
        <w:t xml:space="preserve"> vom angestrebten Image des Unternehmens abhängt. </w:t>
      </w:r>
    </w:p>
    <w:p w14:paraId="5D08CEAB" w14:textId="40A3EA0B" w:rsidR="006855EF" w:rsidRDefault="00D01947" w:rsidP="00F65E75">
      <w:r>
        <w:t>Allerdings</w:t>
      </w:r>
      <w:r w:rsidR="0060285B">
        <w:t xml:space="preserve"> sind die eigentlichen Rechtspflichten</w:t>
      </w:r>
      <w:r w:rsidR="00B01566">
        <w:t xml:space="preserve"> </w:t>
      </w:r>
      <w:r w:rsidR="006855EF">
        <w:t xml:space="preserve">zur öffentlichen Mitteilung von Datenpannen als solche wenig attraktiv. Die </w:t>
      </w:r>
      <w:r w:rsidR="00BF3791">
        <w:t>Verantwortlichen Stelle</w:t>
      </w:r>
      <w:r w:rsidR="006855EF">
        <w:t xml:space="preserve">n sind deshalb versucht, Eingeständnisse dieser Art auf ein Minimum, das rechtlich </w:t>
      </w:r>
      <w:proofErr w:type="gramStart"/>
      <w:r w:rsidR="006855EF">
        <w:t>Unvermeidbare</w:t>
      </w:r>
      <w:proofErr w:type="gramEnd"/>
      <w:r w:rsidR="006855EF">
        <w:t xml:space="preserve">, zu reduzieren, um den Reputationsverlust gering zu halten. </w:t>
      </w:r>
      <w:r w:rsidR="00E75940">
        <w:t xml:space="preserve">Dennoch </w:t>
      </w:r>
      <w:r w:rsidR="006855EF">
        <w:t>raten Öffentlichkeitsarbeiter für Krisen ab einer gewissen Schwere zu Offenheit und Transparenz, um den Vertrauensverlust zu minimieren. – Es gibt also einen Kipppunkt für die Kommunikationsstrategie in diesem Zusammenhang.</w:t>
      </w:r>
    </w:p>
    <w:p w14:paraId="57DA1021" w14:textId="30DC484A" w:rsidR="006855EF" w:rsidRDefault="006855EF" w:rsidP="00F65E75">
      <w:r w:rsidRPr="0060285B">
        <w:t>Der eigentliche Fehler ist</w:t>
      </w:r>
      <w:r w:rsidR="0060285B" w:rsidRPr="0060285B">
        <w:t xml:space="preserve"> zu diesem Zeitpunkt ohnehin</w:t>
      </w:r>
      <w:r w:rsidRPr="0060285B">
        <w:t xml:space="preserve"> bereits geschehen und nicht mehr aus der Welt zu schaffen. Zu verhindern ist nun, diesen durch falsche oder ungeschickte Kommunikation noch zu verstärken</w:t>
      </w:r>
      <w:r w:rsidR="0060285B" w:rsidRPr="0060285B">
        <w:t>. Dabei ist eine rein juristische Perspektive, die zwangsläufig auf die Verfahrensbeteiligten bezogen und im Kern fachlich und sachlich ist, meist eher hinderlich. Oft wird sogar aus Rechtsgründen eine möglichst restriktive Informationspolitik angeraten. Dies lässt aber die Informationsinteressen der Öffentlichkeit und letztendlich auch die Image-Ziele des Unternehmens außer Acht.</w:t>
      </w:r>
    </w:p>
    <w:p w14:paraId="004FECF8" w14:textId="2A0A8AE6" w:rsidR="00F412A6" w:rsidRDefault="004C4296" w:rsidP="00F65E75">
      <w:r>
        <w:t>Anders als die möglicherweise b</w:t>
      </w:r>
      <w:r w:rsidR="0060285B">
        <w:t>eteiligten Juri</w:t>
      </w:r>
      <w:r>
        <w:t>sten muss es gerade Teil der PR-</w:t>
      </w:r>
      <w:r w:rsidR="0060285B">
        <w:t>Strategie sein</w:t>
      </w:r>
      <w:r>
        <w:t>,</w:t>
      </w:r>
      <w:r w:rsidR="0060285B">
        <w:t xml:space="preserve"> mit der </w:t>
      </w:r>
      <w:r w:rsidR="006855EF" w:rsidRPr="0060285B">
        <w:t xml:space="preserve">generellen Öffentlichkeit und den </w:t>
      </w:r>
      <w:r w:rsidR="006A78D1">
        <w:t>Betroffenen und anderen Interessierten</w:t>
      </w:r>
      <w:r>
        <w:t xml:space="preserve"> zu</w:t>
      </w:r>
      <w:r w:rsidR="002D02A7">
        <w:t xml:space="preserve"> </w:t>
      </w:r>
      <w:r w:rsidR="006855EF" w:rsidRPr="0060285B">
        <w:t>kommunizieren.</w:t>
      </w:r>
      <w:r w:rsidR="00DC1D59">
        <w:t xml:space="preserve"> </w:t>
      </w:r>
      <w:r w:rsidR="00F412A6">
        <w:t>Fas</w:t>
      </w:r>
      <w:r w:rsidR="002428A0">
        <w:t>s</w:t>
      </w:r>
      <w:r w:rsidR="00F412A6">
        <w:t xml:space="preserve">t man die Ziele von PR weiter, so ist hier eine Strategie zur </w:t>
      </w:r>
      <w:r w:rsidR="006855EF" w:rsidRPr="0060285B">
        <w:t>Einflussnahme auf d</w:t>
      </w:r>
      <w:r w:rsidR="000769BB">
        <w:t>i</w:t>
      </w:r>
      <w:r w:rsidR="006855EF" w:rsidRPr="0060285B">
        <w:t>e öffentliche Disku</w:t>
      </w:r>
      <w:r w:rsidR="00F412A6">
        <w:t>s</w:t>
      </w:r>
      <w:r w:rsidR="000769BB">
        <w:t>sion</w:t>
      </w:r>
      <w:r w:rsidR="00F412A6">
        <w:t xml:space="preserve"> und letztlich sogar zur </w:t>
      </w:r>
      <w:r w:rsidR="006855EF" w:rsidRPr="0060285B">
        <w:t>eigene</w:t>
      </w:r>
      <w:r w:rsidR="00F412A6">
        <w:t>n</w:t>
      </w:r>
      <w:r w:rsidR="006855EF" w:rsidRPr="0060285B">
        <w:t xml:space="preserve"> Reputationskonstitution</w:t>
      </w:r>
      <w:r w:rsidR="00F412A6">
        <w:t xml:space="preserve"> von</w:t>
      </w:r>
      <w:r w:rsidR="002428A0">
        <w:t>n</w:t>
      </w:r>
      <w:r w:rsidR="00F412A6">
        <w:t>öten. Ein pauschale</w:t>
      </w:r>
      <w:r w:rsidR="00D01947">
        <w:t>r Ratschlag</w:t>
      </w:r>
      <w:r w:rsidR="00F412A6">
        <w:t xml:space="preserve"> kann </w:t>
      </w:r>
      <w:r w:rsidR="00D01947">
        <w:t>insofern</w:t>
      </w:r>
      <w:r w:rsidR="00F412A6">
        <w:t xml:space="preserve"> ohne </w:t>
      </w:r>
      <w:r w:rsidR="00D01947">
        <w:t>Kenntnis der</w:t>
      </w:r>
      <w:r w:rsidR="00F412A6">
        <w:t xml:space="preserve"> Besonderheiten des Einzelfalles aber kaum abgegeben werden. </w:t>
      </w:r>
    </w:p>
    <w:p w14:paraId="5DE2E845" w14:textId="5B861BDD" w:rsidR="00F412A6" w:rsidRDefault="00F412A6" w:rsidP="00F65E75">
      <w:r>
        <w:t xml:space="preserve">Möglicherweise kann </w:t>
      </w:r>
      <w:r w:rsidR="006855EF" w:rsidRPr="0060285B">
        <w:t>sogar die Vermeidung einer öffentlichen Debatte</w:t>
      </w:r>
      <w:r>
        <w:t xml:space="preserve"> angestrebt werden. Dies ist freilich nur möglich, sofern nicht schon </w:t>
      </w:r>
      <w:proofErr w:type="gramStart"/>
      <w:r>
        <w:t>Dritte</w:t>
      </w:r>
      <w:proofErr w:type="gramEnd"/>
      <w:r>
        <w:t xml:space="preserve"> an die Öffentlichkeit gegangen sind. Dem Vertrauen </w:t>
      </w:r>
      <w:r w:rsidR="000769BB">
        <w:t>von Betroffenen,</w:t>
      </w:r>
      <w:r>
        <w:t xml:space="preserve"> Kunden und dem Image der </w:t>
      </w:r>
      <w:r w:rsidR="00BF3791">
        <w:t>Verantwortlichen Stelle</w:t>
      </w:r>
      <w:r>
        <w:t xml:space="preserve"> </w:t>
      </w:r>
      <w:r w:rsidR="000769BB">
        <w:t xml:space="preserve">in der </w:t>
      </w:r>
      <w:r w:rsidR="000769BB">
        <w:lastRenderedPageBreak/>
        <w:t xml:space="preserve">Öffentlichkeit </w:t>
      </w:r>
      <w:r>
        <w:t>si</w:t>
      </w:r>
      <w:r w:rsidR="00D747CD">
        <w:t>nd an diesem Punkt „</w:t>
      </w:r>
      <w:proofErr w:type="spellStart"/>
      <w:r w:rsidR="000769BB">
        <w:t>N</w:t>
      </w:r>
      <w:r w:rsidR="00D747CD">
        <w:t>o</w:t>
      </w:r>
      <w:proofErr w:type="spellEnd"/>
      <w:r w:rsidR="00D747CD">
        <w:t xml:space="preserve"> </w:t>
      </w:r>
      <w:proofErr w:type="spellStart"/>
      <w:r w:rsidR="00D747CD">
        <w:t>comment</w:t>
      </w:r>
      <w:proofErr w:type="spellEnd"/>
      <w:r w:rsidR="00D747CD">
        <w:t>“-</w:t>
      </w:r>
      <w:r>
        <w:t xml:space="preserve">Aussagen, trotz großer Üblichkeit in der Praxis, selten besonders zuträglich. </w:t>
      </w:r>
    </w:p>
    <w:p w14:paraId="01E570D1" w14:textId="4831C00D" w:rsidR="00F412A6" w:rsidRDefault="00F412A6" w:rsidP="00F65E75">
      <w:r>
        <w:t xml:space="preserve">Auch droht eine Veröffentlichung des Problems natürlich weiterhin, selbst wenn dieses </w:t>
      </w:r>
      <w:r w:rsidR="006D3AF2">
        <w:t>i</w:t>
      </w:r>
      <w:r>
        <w:t xml:space="preserve">ntern bereits erkannt und eine Vermeidung der Debatte angestrebt wurde. Hier kann eine von Anfang an offensive Strategie einen eigenen Interpretationsrahmen eröffnen und mittelfristig durch Eingestehen des Fehlers und ein Bekennen zu Transparenz eine Reputationsförderung eintreten. </w:t>
      </w:r>
    </w:p>
    <w:p w14:paraId="5C657B60" w14:textId="4E9C5AEB" w:rsidR="00F412A6" w:rsidRPr="0060285B" w:rsidRDefault="00F412A6" w:rsidP="005E47EA">
      <w:pPr>
        <w:pStyle w:val="berschrift7"/>
      </w:pPr>
      <w:bookmarkStart w:id="520" w:name="_Toc471812277"/>
      <w:bookmarkStart w:id="521" w:name="_Toc471818843"/>
      <w:bookmarkStart w:id="522" w:name="_Toc471826525"/>
      <w:bookmarkStart w:id="523" w:name="_Toc471828127"/>
      <w:bookmarkStart w:id="524" w:name="_Toc471829484"/>
      <w:bookmarkStart w:id="525" w:name="_Toc512241356"/>
      <w:r>
        <w:t xml:space="preserve">Unternehmensinterne </w:t>
      </w:r>
      <w:r w:rsidR="00A13A96">
        <w:t>Vorbereitung auf Krisen-</w:t>
      </w:r>
      <w:r>
        <w:t>Kommunikation</w:t>
      </w:r>
      <w:bookmarkEnd w:id="520"/>
      <w:bookmarkEnd w:id="521"/>
      <w:bookmarkEnd w:id="522"/>
      <w:bookmarkEnd w:id="523"/>
      <w:bookmarkEnd w:id="524"/>
      <w:bookmarkEnd w:id="525"/>
    </w:p>
    <w:p w14:paraId="09B499A7" w14:textId="717F72DE" w:rsidR="00125296" w:rsidRPr="0060285B" w:rsidRDefault="006855EF" w:rsidP="00F65E75">
      <w:r w:rsidRPr="0060285B">
        <w:t>Nicht zu vergessen</w:t>
      </w:r>
      <w:r w:rsidR="00DC1D59">
        <w:t xml:space="preserve"> </w:t>
      </w:r>
      <w:r w:rsidR="00F412A6">
        <w:t>ist hier die</w:t>
      </w:r>
      <w:r w:rsidR="00DC1D59">
        <w:t xml:space="preserve"> </w:t>
      </w:r>
      <w:r w:rsidRPr="0060285B">
        <w:t xml:space="preserve">interne Kommunikation mit den </w:t>
      </w:r>
      <w:r w:rsidR="006D3AF2">
        <w:t>eigenen Beschäftigten</w:t>
      </w:r>
      <w:r w:rsidRPr="0060285B">
        <w:t>.</w:t>
      </w:r>
      <w:r w:rsidR="00F412A6">
        <w:t xml:space="preserve"> Durch die relative Häufigkeit von Datenpannen muss hier schon im Vorfeld eine Vorbereitung auf eine mögliche Krise stattfinden. </w:t>
      </w:r>
      <w:r w:rsidR="00125296" w:rsidRPr="0060285B">
        <w:t xml:space="preserve">Im Hinblick auf den heutigen Stand der Technisierung aller Lebensbereiche ist es realistisch betrachtet kaum zu vermeiden, dass es in einem Unternehmen zu irgendeinem Zeitpunkt zu einer Datenpanne kommen wird. </w:t>
      </w:r>
    </w:p>
    <w:p w14:paraId="056B8883" w14:textId="0A509830" w:rsidR="00125296" w:rsidRDefault="00F412A6" w:rsidP="00F65E75">
      <w:r>
        <w:t xml:space="preserve">Die Vorgaben müssen einheitlich und klar sein, damit insbesondere bei überraschender Aufdeckung des Missstandes durch Dritte von Anfang an richtig </w:t>
      </w:r>
      <w:r w:rsidR="00125296">
        <w:t xml:space="preserve">reagiert werden kann. </w:t>
      </w:r>
    </w:p>
    <w:p w14:paraId="10B7E13A" w14:textId="1885D305" w:rsidR="006855EF" w:rsidRDefault="00125296" w:rsidP="00F65E75">
      <w:r>
        <w:t xml:space="preserve">Je größer das Unternehmen ist, desto wichtiger wird eine gute organisatorische Aufteilung zwischen Rechts- und PR-Mitarbeitern. Die beste Kommunikationsstrategie kann in so einem Moment durch unklare, </w:t>
      </w:r>
      <w:r w:rsidR="005E47EA">
        <w:t xml:space="preserve">nicht abgesprochene </w:t>
      </w:r>
      <w:r>
        <w:t xml:space="preserve">und am Ende möglicherweise dadurch widersprüchliche Aussagen aus verschiedenen Teilen des Unternehmens torpediert werden. Gerade bei einer aggressiven, gegebenenfalls sogar im Minutentakt aktualisierten Berichterstattung wird ein immenser Druck aufgebaut, </w:t>
      </w:r>
      <w:r w:rsidR="000B1157">
        <w:t xml:space="preserve">dem </w:t>
      </w:r>
      <w:r>
        <w:t xml:space="preserve">nur durch von Anfang an klare Vorgaben </w:t>
      </w:r>
      <w:r w:rsidR="000B1157">
        <w:t xml:space="preserve">sinnvoll begegnet </w:t>
      </w:r>
      <w:r>
        <w:t>werden kann.</w:t>
      </w:r>
    </w:p>
    <w:p w14:paraId="3EF11D3E" w14:textId="090622D6" w:rsidR="006855EF" w:rsidRDefault="0062444A" w:rsidP="006855EF">
      <w:pPr>
        <w:pStyle w:val="berschrift5"/>
      </w:pPr>
      <w:bookmarkStart w:id="526" w:name="_Toc469776811"/>
      <w:bookmarkStart w:id="527" w:name="_Toc471812284"/>
      <w:bookmarkStart w:id="528" w:name="_Toc471818850"/>
      <w:bookmarkStart w:id="529" w:name="_Toc471826528"/>
      <w:bookmarkStart w:id="530" w:name="_Toc471828128"/>
      <w:bookmarkStart w:id="531" w:name="_Toc471829485"/>
      <w:bookmarkStart w:id="532" w:name="_Toc512241357"/>
      <w:bookmarkEnd w:id="526"/>
      <w:bookmarkEnd w:id="527"/>
      <w:bookmarkEnd w:id="528"/>
      <w:bookmarkEnd w:id="529"/>
      <w:bookmarkEnd w:id="530"/>
      <w:bookmarkEnd w:id="531"/>
      <w:r>
        <w:t>Begleitende Kommunikation im Rechtsstreit</w:t>
      </w:r>
      <w:bookmarkEnd w:id="532"/>
    </w:p>
    <w:p w14:paraId="47B52F4E" w14:textId="5A61CBD8" w:rsidR="00FA117D" w:rsidRDefault="00422B87" w:rsidP="00D26113">
      <w:pPr>
        <w:pStyle w:val="berschrift6"/>
        <w:numPr>
          <w:ilvl w:val="5"/>
          <w:numId w:val="28"/>
        </w:numPr>
      </w:pPr>
      <w:bookmarkStart w:id="533" w:name="_Toc469776812"/>
      <w:bookmarkStart w:id="534" w:name="_Toc471812285"/>
      <w:bookmarkStart w:id="535" w:name="_Toc471818851"/>
      <w:bookmarkStart w:id="536" w:name="_Toc471826529"/>
      <w:bookmarkStart w:id="537" w:name="_Toc471828129"/>
      <w:bookmarkStart w:id="538" w:name="_Toc471829486"/>
      <w:bookmarkStart w:id="539" w:name="_Toc512241358"/>
      <w:r>
        <w:t>Vorrang der rechtlichen und rechtsförmigen Kommunikation</w:t>
      </w:r>
      <w:bookmarkEnd w:id="533"/>
      <w:bookmarkEnd w:id="534"/>
      <w:bookmarkEnd w:id="535"/>
      <w:bookmarkEnd w:id="536"/>
      <w:bookmarkEnd w:id="537"/>
      <w:bookmarkEnd w:id="538"/>
      <w:bookmarkEnd w:id="539"/>
    </w:p>
    <w:p w14:paraId="22262435" w14:textId="60FD1306" w:rsidR="004974BC" w:rsidRPr="00FB17DF" w:rsidRDefault="008C1202" w:rsidP="008C1202">
      <w:bookmarkStart w:id="540" w:name="_Toc469776813"/>
      <w:bookmarkStart w:id="541" w:name="_Toc471812286"/>
      <w:bookmarkStart w:id="542" w:name="_Toc471818852"/>
      <w:bookmarkStart w:id="543" w:name="_Toc471826530"/>
      <w:r>
        <w:t>Bei Datenschutzverstößen steh</w:t>
      </w:r>
      <w:r w:rsidR="00776907">
        <w:t xml:space="preserve">en </w:t>
      </w:r>
      <w:r>
        <w:t xml:space="preserve">– ebenso wie bei </w:t>
      </w:r>
      <w:r w:rsidRPr="00D265BB">
        <w:t>Datenpannen (1.)</w:t>
      </w:r>
      <w:r>
        <w:t xml:space="preserve"> </w:t>
      </w:r>
      <w:r w:rsidR="00776907">
        <w:t xml:space="preserve">– optimale rechtliche (rechtsverteidigende) und öffentlichkeitswirksame </w:t>
      </w:r>
      <w:r w:rsidR="0073670B">
        <w:t xml:space="preserve">Kommunikation (PR) in einem Spannungsverhältnis. Weil die rechtlichen Folgen von Datenschutzverstößen </w:t>
      </w:r>
      <w:r w:rsidR="00872033">
        <w:t xml:space="preserve">erheblich und persönlich (Geldbuße, Geldstrafe, in Ausnahmefällen sogar Haft) sein </w:t>
      </w:r>
      <w:r w:rsidR="00EE549E">
        <w:t>können</w:t>
      </w:r>
      <w:r w:rsidR="00872033">
        <w:t xml:space="preserve">, wird hier meist die rechtliche Kommunikationsperspektive im Vordergrund stehen. </w:t>
      </w:r>
      <w:r w:rsidR="004974BC">
        <w:t xml:space="preserve">Aber der sauberste juristische Erfolg kann gleichwohl für Unternehmen oder Behörde als PR-Desaster enden. – Da aber jeder Datenschutz-Krisenfall spezifisch ist, können keine allgemeinen Leitlinien gegeben werden. </w:t>
      </w:r>
    </w:p>
    <w:p w14:paraId="5062C974" w14:textId="787FB2A3" w:rsidR="00FD147F" w:rsidRDefault="00FD147F" w:rsidP="008C1202">
      <w:pPr>
        <w:pStyle w:val="berschrift6"/>
        <w:numPr>
          <w:ilvl w:val="5"/>
          <w:numId w:val="28"/>
        </w:numPr>
      </w:pPr>
      <w:bookmarkStart w:id="544" w:name="_Toc471828130"/>
      <w:bookmarkStart w:id="545" w:name="_Toc471829487"/>
      <w:bookmarkStart w:id="546" w:name="_Toc512241359"/>
      <w:r>
        <w:t xml:space="preserve">Datenschutzmediation und </w:t>
      </w:r>
      <w:r>
        <w:noBreakHyphen/>
        <w:t>ADR</w:t>
      </w:r>
      <w:bookmarkEnd w:id="540"/>
      <w:bookmarkEnd w:id="541"/>
      <w:bookmarkEnd w:id="542"/>
      <w:bookmarkEnd w:id="543"/>
      <w:bookmarkEnd w:id="544"/>
      <w:bookmarkEnd w:id="545"/>
      <w:bookmarkEnd w:id="546"/>
    </w:p>
    <w:p w14:paraId="7D25F087" w14:textId="67CFAD76" w:rsidR="00F73F0B" w:rsidRDefault="00F73F0B" w:rsidP="00BF1C86">
      <w:pPr>
        <w:pStyle w:val="Schrifttum"/>
      </w:pPr>
      <w:r w:rsidRPr="00A66CCC">
        <w:rPr>
          <w:i/>
          <w:iCs/>
        </w:rPr>
        <w:t>Schiffer</w:t>
      </w:r>
      <w:r w:rsidRPr="00A66CCC">
        <w:t xml:space="preserve">, Mediation im Datenschutz? in: </w:t>
      </w:r>
      <w:r w:rsidR="00BC3898" w:rsidRPr="00BC3898">
        <w:t>Conrad/Grützmacher</w:t>
      </w:r>
      <w:r w:rsidR="002748E9">
        <w:t>[Hrsg.]</w:t>
      </w:r>
      <w:r w:rsidR="00BC3898">
        <w:t>,</w:t>
      </w:r>
      <w:r w:rsidRPr="00A66CCC">
        <w:t xml:space="preserve"> Recht der Daten und Datenbanken im Unternehmen,</w:t>
      </w:r>
      <w:r>
        <w:t xml:space="preserve"> Otto Schmidt-Verlag</w:t>
      </w:r>
      <w:r w:rsidRPr="00A66CCC">
        <w:t xml:space="preserve"> 2014, S. 1042</w:t>
      </w:r>
      <w:r>
        <w:t xml:space="preserve"> ff.</w:t>
      </w:r>
    </w:p>
    <w:p w14:paraId="78D73F07" w14:textId="7B9D2491" w:rsidR="00FD147F" w:rsidRDefault="00F00289" w:rsidP="00FD147F">
      <w:r>
        <w:t xml:space="preserve">Eine Möglichkeit, dieses Spannungsverhältnis zwischen allgemeiner Kommunikation und rechtlicher Auseinandersetzung </w:t>
      </w:r>
      <w:r w:rsidR="00927B7D">
        <w:t xml:space="preserve">aufzulösen, ist die Alternative Streitbeilegung (Schlichtung, Mediation usw.). </w:t>
      </w:r>
      <w:r w:rsidR="00FD147F">
        <w:t xml:space="preserve">In Deutschland, das einen vergleichsweise günstigen Zugang zur Justiz gewährt, haben sich </w:t>
      </w:r>
      <w:r w:rsidR="00927B7D">
        <w:t xml:space="preserve">solche </w:t>
      </w:r>
      <w:r w:rsidR="00FD147F">
        <w:t>Alternative</w:t>
      </w:r>
      <w:r w:rsidR="003C4EDA">
        <w:t>n</w:t>
      </w:r>
      <w:r w:rsidR="00FD147F">
        <w:t xml:space="preserve"> Streitbeilegungsmechanismen (Alternative Dispute Resolution, ADR) noch nicht überall verbreitet. Trotz der niedrigen Hürden, um vor Gericht zu ziehen, ist die rationale Apathie (s.o.) regelmäßig zu groß und das Datenschutzrecht zu verwickelt, um Konflikte auf diesem Gebiet gerichtsförmig zu klären. </w:t>
      </w:r>
      <w:r w:rsidR="00D76056">
        <w:t xml:space="preserve">Die gerichtlichen </w:t>
      </w:r>
      <w:r w:rsidR="00FD147F">
        <w:t xml:space="preserve">Verfahren dienen dabei nicht nur der Durchsetzung von Recht, sondern auch der Klärung der Rechtslage und damit dem allgemeinen Rechtsfrieden wie der individuellen und subjektiven Streitbeilegung. </w:t>
      </w:r>
    </w:p>
    <w:p w14:paraId="7499F237" w14:textId="1C32DAC2" w:rsidR="00FD147F" w:rsidRDefault="008D7286" w:rsidP="00FD147F">
      <w:r>
        <w:lastRenderedPageBreak/>
        <w:t>D</w:t>
      </w:r>
      <w:r w:rsidR="00FD147F">
        <w:t>iese Befriedungsfunktion</w:t>
      </w:r>
      <w:r w:rsidR="00700275">
        <w:t xml:space="preserve"> </w:t>
      </w:r>
      <w:r w:rsidR="00FD147F">
        <w:t xml:space="preserve">bieten </w:t>
      </w:r>
      <w:r>
        <w:t xml:space="preserve">auch </w:t>
      </w:r>
      <w:r w:rsidR="00FD147F">
        <w:t>alternative Streitbeilegungsmechanismen</w:t>
      </w:r>
      <w:r>
        <w:t>.</w:t>
      </w:r>
      <w:r w:rsidR="00FD147F">
        <w:t xml:space="preserve"> </w:t>
      </w:r>
      <w:r>
        <w:t xml:space="preserve">Sie können </w:t>
      </w:r>
      <w:r w:rsidR="00FD147F">
        <w:t xml:space="preserve">(aus Sicht der </w:t>
      </w:r>
      <w:r w:rsidR="00BF3791">
        <w:t>Verantwortlichen Stelle</w:t>
      </w:r>
      <w:r w:rsidR="00FD147F">
        <w:t xml:space="preserve">) rechtliche wie kommunikative Eskalationen – insbesondere den Gang an die Öffentlichkeit – vermeiden </w:t>
      </w:r>
      <w:r>
        <w:t>helfen</w:t>
      </w:r>
      <w:r w:rsidR="00FD147F">
        <w:t xml:space="preserve">. Eine ganze Bandbreite von Ansätzen kommt hier in Frage, von der klassischen Mediation über Schlichtungsverfahren bis hin zu rechnergestützter Online-ADR. </w:t>
      </w:r>
    </w:p>
    <w:p w14:paraId="50EE1FCA" w14:textId="5DCB936C" w:rsidR="00FD147F" w:rsidRDefault="00FD147F" w:rsidP="00FD147F">
      <w:r>
        <w:t>Grundlegende Prinzipien eines Mediationsverfahrens stellen die Freiwilligkeit der Parteien, die Neutralität des Mediators, sowie die Ergebnisoffenheit des Verfahrens dar. Die denkbaren Einsatzmöglichkeiten sind dabei vielfältig. Angefangen von Konflikten innerhalb des Unternehmens, beispielsweise mit dem Datenschutzbeauftragten, über Streitigkeiten mit dem betroffenen Kunden, bis hin zu Konflikten über behördliche Aufsichtsnahmen</w:t>
      </w:r>
      <w:r w:rsidR="00D811A7">
        <w:t>,</w:t>
      </w:r>
      <w:r>
        <w:t xml:space="preserve"> ist alles als Gegenstand einer Mediation denkbar. </w:t>
      </w:r>
    </w:p>
    <w:p w14:paraId="5A46734E" w14:textId="4AF3B17B" w:rsidR="00FD147F" w:rsidRDefault="00FD147F" w:rsidP="00FD147F">
      <w:r>
        <w:t xml:space="preserve">Einmal kann durch problem- und betroffenenadäquate Verfahren der Bereich rationaler Apathie verringert werden, etwa durch den Einsatz von Formularen. </w:t>
      </w:r>
      <w:r w:rsidR="00156F7E">
        <w:t>Daneben</w:t>
      </w:r>
      <w:r>
        <w:t xml:space="preserve"> kann ein bestehender Konflikt aus einer </w:t>
      </w:r>
      <w:r w:rsidR="00D76056">
        <w:t>nicht</w:t>
      </w:r>
      <w:r>
        <w:t xml:space="preserve"> ausschließlich rechtlichen Perspektive gelöst werden, was dann neue Lösungsmöglichkeiten eröffnen kann; in </w:t>
      </w:r>
      <w:proofErr w:type="spellStart"/>
      <w:r>
        <w:t>Mediatorenkreisen</w:t>
      </w:r>
      <w:proofErr w:type="spellEnd"/>
      <w:r>
        <w:t xml:space="preserve"> spricht man diesbezüglich von der „Vergrößerung des Kuchens“. Nicht zuletzt scheint auch der Datenschutz durch weite Generalklauseln und viele auslegungsbedürftige und Ermessen eröffnende Vorschriften für die Mediation prädestiniert, was durch den weitgehenden Verzicht auf branchen- oder technologiespezifischen Regelungen in der DSGVO wohl noch verstärkt werden könnte.</w:t>
      </w:r>
    </w:p>
    <w:p w14:paraId="482F3E5D" w14:textId="4E04081A" w:rsidR="00FD147F" w:rsidRDefault="00FD147F" w:rsidP="00FD147F">
      <w:r>
        <w:t xml:space="preserve">Ein Beispiel ist die von der SCHUFA eingerichtete Schlichtungsstelle. Diese privat organisierte </w:t>
      </w:r>
      <w:r w:rsidRPr="00A66CCC">
        <w:t xml:space="preserve">ADR – welche seit ihrer Gründung 2010 zuerst mit </w:t>
      </w:r>
      <w:r w:rsidR="003E21A2" w:rsidRPr="00A66CCC">
        <w:t xml:space="preserve">den Verfassungsrichtern </w:t>
      </w:r>
      <w:r w:rsidRPr="00A66CCC">
        <w:t>Winfried Hassemer und seit 2014 mit Hans-Jürgen Papier prominent besetzt</w:t>
      </w:r>
      <w:r>
        <w:t xml:space="preserve"> wurde – versucht nach der erfolglosen Geltendmachung der erhobenen Ansprüche der SCHUFA gegenüber und vor einem Gerichtsverfahren zwischen den beiden Parteien zu vermitteln und so zu einer sachgerechten Lösung zu kommen. Gerade für kleinere Unternehmen sollte aber die Bedeutung einer solchen eigenen Schlichtungsstelle nicht überschätzt werden. So weist der Tätigkeitsbericht der SCHUFA-Schlichtungsstelle für das Jahr 2015</w:t>
      </w:r>
      <w:r w:rsidR="0080035E">
        <w:t xml:space="preserve"> </w:t>
      </w:r>
      <w:r w:rsidR="009A7FF9">
        <w:t>(verfügbar unter</w:t>
      </w:r>
      <w:r w:rsidR="009A7FF9" w:rsidRPr="009A7FF9">
        <w:t xml:space="preserve"> </w:t>
      </w:r>
      <w:r w:rsidR="0055462B" w:rsidRPr="0055462B">
        <w:t>http://t1p</w:t>
      </w:r>
      <w:r w:rsidR="009A7FF9" w:rsidRPr="00355FEB">
        <w:t>.de/</w:t>
      </w:r>
      <w:r w:rsidR="0055462B" w:rsidRPr="0055462B">
        <w:t xml:space="preserve">2xak </w:t>
      </w:r>
      <w:r w:rsidR="0055462B">
        <w:t>[</w:t>
      </w:r>
      <w:r w:rsidR="009A7FF9" w:rsidRPr="00355FEB">
        <w:t>SCHUFA</w:t>
      </w:r>
      <w:r w:rsidR="0055462B">
        <w:t>, kostenfrei]</w:t>
      </w:r>
      <w:r w:rsidR="00F70831">
        <w:t>)</w:t>
      </w:r>
      <w:r w:rsidR="00DF0B7B">
        <w:t xml:space="preserve"> </w:t>
      </w:r>
      <w:r>
        <w:t xml:space="preserve">lediglich </w:t>
      </w:r>
      <w:r w:rsidR="00DF0B7B">
        <w:t>7</w:t>
      </w:r>
      <w:r>
        <w:t>41 Anträge aus, wobei angegeben wird, dass die SCHUFA zu diesem Zeitpunkt Daten zu 66,4 Mio. Personen gespeichert habe. Im Einzelfall könnte aber die Hinzuziehung eines externen Mediators erwogen werden.</w:t>
      </w:r>
    </w:p>
    <w:p w14:paraId="3E991307" w14:textId="1D9CA416" w:rsidR="00FD147F" w:rsidRDefault="00FD147F" w:rsidP="00FD147F">
      <w:r>
        <w:t xml:space="preserve">Auch wenn ein offenerer Ansatz offensichtlich Potential und Möglichkeiten bietet, ist durch </w:t>
      </w:r>
      <w:r w:rsidR="00156F7E">
        <w:t>den</w:t>
      </w:r>
      <w:r>
        <w:t xml:space="preserve"> vorstehend skizzierten Perspektivenwechsel nur eine graduelle Verbesserung der Datenschutzkommunikation erreichbar. </w:t>
      </w:r>
    </w:p>
    <w:p w14:paraId="3A061AAA" w14:textId="008645DF" w:rsidR="00EF5395" w:rsidRDefault="00EF5395" w:rsidP="00EF5395">
      <w:pPr>
        <w:pStyle w:val="berschrift4"/>
      </w:pPr>
      <w:bookmarkStart w:id="547" w:name="_Toc469776814"/>
      <w:bookmarkStart w:id="548" w:name="_Toc471812287"/>
      <w:bookmarkStart w:id="549" w:name="_Toc471818853"/>
      <w:bookmarkStart w:id="550" w:name="_Toc471826531"/>
      <w:bookmarkStart w:id="551" w:name="_Toc471828131"/>
      <w:bookmarkStart w:id="552" w:name="_Toc471829488"/>
      <w:bookmarkStart w:id="553" w:name="_Toc512241360"/>
      <w:r>
        <w:t>Schluss</w:t>
      </w:r>
      <w:bookmarkEnd w:id="547"/>
      <w:bookmarkEnd w:id="548"/>
      <w:bookmarkEnd w:id="549"/>
      <w:bookmarkEnd w:id="550"/>
      <w:bookmarkEnd w:id="551"/>
      <w:bookmarkEnd w:id="552"/>
      <w:bookmarkEnd w:id="553"/>
    </w:p>
    <w:p w14:paraId="6AEC3A23" w14:textId="7B7C797D" w:rsidR="00B04CE9" w:rsidRDefault="00B04CE9" w:rsidP="00EF5395">
      <w:r>
        <w:t>Gute Kommunikation muss im Datenschutz insgesamt nicht nur in der Erfüllung der rechtlichen Pflichten bestehen: Es lassen sich durch sinnvolle Nutzung der Instrumente durchaus wettbewerbliche Vorteile generieren und die Verwaltungsleistung optimieren.</w:t>
      </w:r>
      <w:r w:rsidR="002A1808">
        <w:t xml:space="preserve"> </w:t>
      </w:r>
      <w:r>
        <w:t xml:space="preserve">Nimmt man </w:t>
      </w:r>
      <w:r w:rsidR="00D01947">
        <w:t>hierfür</w:t>
      </w:r>
      <w:r>
        <w:t xml:space="preserve"> die ohnehin verpflichtenden Vorarbeiten als Grundmaterial, so lassen sich in effizienter Weise darauf aufbauend eigene freiwillige Konzepte erstellen. </w:t>
      </w:r>
    </w:p>
    <w:p w14:paraId="165CADEF" w14:textId="794B36B4" w:rsidR="00B04CE9" w:rsidRDefault="00B04CE9" w:rsidP="00EF5395">
      <w:r>
        <w:t>In den zeitlich folgenden Abschnitten nimmt freilich die Bedeutung der rechtlichen Seite gegenüber der kommunikativen etwas zu, auch hier schafft aber die Datenschutz</w:t>
      </w:r>
      <w:r w:rsidR="002A1808">
        <w:t>-G</w:t>
      </w:r>
      <w:r>
        <w:t xml:space="preserve">rundverordnung spätestens im Bereich der Haftung und der Sanktionen immer wieder weitere Anreize zu einem überobligatorischen Einsatz. </w:t>
      </w:r>
    </w:p>
    <w:p w14:paraId="26555B2D" w14:textId="7C38CF5B" w:rsidR="00B04CE9" w:rsidRDefault="00156F7E" w:rsidP="00EF5395">
      <w:r>
        <w:t>Selbst</w:t>
      </w:r>
      <w:r w:rsidR="00B04CE9">
        <w:t xml:space="preserve"> für den Krisenfall einer Daten</w:t>
      </w:r>
      <w:r w:rsidR="002A1808">
        <w:t>p</w:t>
      </w:r>
      <w:r w:rsidR="00B04CE9">
        <w:t xml:space="preserve">anne konnte gezeigt werden, dass durchaus Möglichkeiten bestehen, durch sinnvolle Kommunikation eine Ausweitung der Krise einzudämmen und </w:t>
      </w:r>
      <w:r w:rsidR="008E7BA3">
        <w:t>mit</w:t>
      </w:r>
      <w:r w:rsidR="00B04CE9">
        <w:t xml:space="preserve"> Verweis auf eine grundsätzliche Datenschutzfreundlichkeit die anschließenden Bußgeldrisiken zu minimieren. </w:t>
      </w:r>
    </w:p>
    <w:p w14:paraId="70AA6AFF" w14:textId="31010D24" w:rsidR="00B04CE9" w:rsidRDefault="00B04CE9" w:rsidP="00EF5395">
      <w:r>
        <w:lastRenderedPageBreak/>
        <w:t xml:space="preserve">Der vermeintliche Gegensatz von Rechtspflicht und Kommunikation lässt sich also bei Beachtung der aufgezeigten </w:t>
      </w:r>
      <w:r w:rsidR="008D36CC">
        <w:t>Grundsätze durchaus bewältigen.</w:t>
      </w:r>
      <w:r w:rsidR="002A1808">
        <w:t xml:space="preserve"> </w:t>
      </w:r>
      <w:r w:rsidR="008D36CC">
        <w:t>Insgesamt lässt sich daher feststellen:</w:t>
      </w:r>
    </w:p>
    <w:p w14:paraId="3A33267F" w14:textId="394C8800" w:rsidR="00EF5395" w:rsidRPr="00EF5395" w:rsidRDefault="00EF5395" w:rsidP="002A1808">
      <w:pPr>
        <w:jc w:val="center"/>
      </w:pPr>
      <w:r>
        <w:t>„Gute Kommunikation macht sich bezahlt.“</w:t>
      </w:r>
    </w:p>
    <w:p w14:paraId="0CC1475B" w14:textId="3A42EAD2" w:rsidR="001F4633" w:rsidRPr="0011693E" w:rsidRDefault="001F4633" w:rsidP="007324B9">
      <w:pPr>
        <w:pStyle w:val="Text"/>
        <w:ind w:firstLine="0"/>
      </w:pPr>
    </w:p>
    <w:sectPr w:rsidR="001F4633" w:rsidRPr="0011693E" w:rsidSect="00A15355">
      <w:footerReference w:type="default" r:id="rId10"/>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0F32E" w14:textId="77777777" w:rsidR="002874B2" w:rsidRDefault="002874B2" w:rsidP="00C912D3">
      <w:r>
        <w:separator/>
      </w:r>
    </w:p>
  </w:endnote>
  <w:endnote w:type="continuationSeparator" w:id="0">
    <w:p w14:paraId="31414336" w14:textId="77777777" w:rsidR="002874B2" w:rsidRDefault="002874B2" w:rsidP="00C912D3">
      <w:r>
        <w:continuationSeparator/>
      </w:r>
    </w:p>
  </w:endnote>
  <w:endnote w:type="continuationNotice" w:id="1">
    <w:p w14:paraId="63D01236" w14:textId="77777777" w:rsidR="002874B2" w:rsidRDefault="00287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utomatisch">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siatische Schriftart verwende">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5177" w14:textId="5CE1188D" w:rsidR="00830FB9" w:rsidRPr="00190C3C" w:rsidRDefault="00830FB9" w:rsidP="00CE08BF">
    <w:pPr>
      <w:pStyle w:val="Fuzeile"/>
      <w:pBdr>
        <w:bottom w:val="single" w:sz="12" w:space="1" w:color="auto"/>
      </w:pBdr>
      <w:jc w:val="left"/>
      <w:rPr>
        <w:rFonts w:eastAsiaTheme="majorEastAsia"/>
        <w:b/>
        <w:sz w:val="20"/>
      </w:rPr>
    </w:pPr>
  </w:p>
  <w:p w14:paraId="65FA6AC3" w14:textId="1439E543" w:rsidR="00830FB9" w:rsidRPr="00190C3C" w:rsidRDefault="00830FB9" w:rsidP="00CE08BF">
    <w:pPr>
      <w:pStyle w:val="Fuzeile"/>
      <w:jc w:val="left"/>
      <w:rPr>
        <w:rFonts w:eastAsiaTheme="majorEastAsia"/>
        <w:b/>
        <w:sz w:val="20"/>
      </w:rPr>
    </w:pPr>
    <w:r w:rsidRPr="00190C3C">
      <w:rPr>
        <w:rFonts w:eastAsiaTheme="majorEastAsia"/>
        <w:b/>
        <w:sz w:val="20"/>
      </w:rPr>
      <w:t>Universität Passau</w:t>
    </w:r>
    <w:r w:rsidRPr="00190C3C">
      <w:rPr>
        <w:b/>
      </w:rPr>
      <w:t xml:space="preserve">, </w:t>
    </w:r>
    <w:r w:rsidRPr="00190C3C">
      <w:rPr>
        <w:rFonts w:eastAsiaTheme="majorEastAsia"/>
        <w:b/>
        <w:sz w:val="20"/>
      </w:rPr>
      <w:t>Lehrstuhl für öffentliches Recht, Medien</w:t>
    </w:r>
    <w:r>
      <w:rPr>
        <w:rFonts w:eastAsiaTheme="majorEastAsia"/>
        <w:b/>
        <w:sz w:val="20"/>
      </w:rPr>
      <w:t>-</w:t>
    </w:r>
    <w:r w:rsidRPr="00190C3C">
      <w:rPr>
        <w:rFonts w:eastAsiaTheme="majorEastAsia"/>
        <w:b/>
        <w:sz w:val="20"/>
      </w:rPr>
      <w:t xml:space="preserve"> und Informationsrecht</w:t>
    </w:r>
  </w:p>
  <w:p w14:paraId="7E8DE6B8" w14:textId="22871BBC" w:rsidR="00830FB9" w:rsidRPr="00190C3C" w:rsidRDefault="00830FB9" w:rsidP="00DE4BD0">
    <w:pPr>
      <w:pStyle w:val="Fuzeile"/>
      <w:rPr>
        <w:rFonts w:eastAsiaTheme="minorEastAsia"/>
        <w:sz w:val="20"/>
      </w:rPr>
    </w:pPr>
    <w:r w:rsidRPr="00190C3C">
      <w:rPr>
        <w:rFonts w:eastAsiaTheme="majorEastAsia"/>
        <w:sz w:val="20"/>
      </w:rPr>
      <w:t>Prof. Dr. Kai v</w:t>
    </w:r>
    <w:r>
      <w:rPr>
        <w:rFonts w:eastAsiaTheme="majorEastAsia"/>
        <w:sz w:val="20"/>
      </w:rPr>
      <w:t>.</w:t>
    </w:r>
    <w:r w:rsidRPr="00190C3C">
      <w:rPr>
        <w:rFonts w:eastAsiaTheme="majorEastAsia"/>
        <w:sz w:val="20"/>
      </w:rPr>
      <w:t xml:space="preserve"> </w:t>
    </w:r>
    <w:proofErr w:type="spellStart"/>
    <w:r w:rsidRPr="00190C3C">
      <w:rPr>
        <w:rFonts w:eastAsiaTheme="majorEastAsia"/>
        <w:sz w:val="20"/>
      </w:rPr>
      <w:t>Lewinski</w:t>
    </w:r>
    <w:proofErr w:type="spellEnd"/>
    <w:r w:rsidRPr="00190C3C">
      <w:rPr>
        <w:rFonts w:eastAsiaTheme="minorEastAsia"/>
        <w:sz w:val="20"/>
      </w:rPr>
      <w:t xml:space="preserve"> </w:t>
    </w:r>
    <w:r w:rsidRPr="00190C3C">
      <w:rPr>
        <w:rFonts w:eastAsiaTheme="minorEastAsia"/>
        <w:sz w:val="20"/>
      </w:rPr>
      <w:tab/>
    </w:r>
    <w:r w:rsidRPr="00190C3C">
      <w:rPr>
        <w:rFonts w:eastAsiaTheme="minorEastAsia"/>
        <w:sz w:val="20"/>
      </w:rPr>
      <w:tab/>
    </w:r>
  </w:p>
  <w:p w14:paraId="299CA9D7" w14:textId="3B0A406F" w:rsidR="00830FB9" w:rsidRPr="00190C3C" w:rsidRDefault="00830FB9" w:rsidP="0050135B">
    <w:pPr>
      <w:pStyle w:val="Fuzeile"/>
      <w:tabs>
        <w:tab w:val="left" w:pos="1995"/>
      </w:tabs>
    </w:pPr>
    <w:r w:rsidRPr="00190C3C">
      <w:rPr>
        <w:rFonts w:eastAsiaTheme="minorEastAsia"/>
        <w:sz w:val="20"/>
      </w:rPr>
      <w:t>Lizenz: CC-</w:t>
    </w:r>
    <w:proofErr w:type="spellStart"/>
    <w:r w:rsidRPr="00190C3C">
      <w:rPr>
        <w:rFonts w:eastAsiaTheme="minorEastAsia"/>
        <w:sz w:val="20"/>
      </w:rPr>
      <w:t>by</w:t>
    </w:r>
    <w:proofErr w:type="spellEnd"/>
    <w:r w:rsidRPr="00190C3C">
      <w:rPr>
        <w:rFonts w:eastAsiaTheme="minorEastAsia"/>
        <w:sz w:val="20"/>
      </w:rPr>
      <w:t xml:space="preserve"> 3.0/de</w:t>
    </w:r>
    <w:r w:rsidRPr="00190C3C">
      <w:rPr>
        <w:rFonts w:eastAsiaTheme="minorEastAsia"/>
        <w:sz w:val="20"/>
      </w:rPr>
      <w:tab/>
    </w:r>
    <w:r>
      <w:rPr>
        <w:rFonts w:eastAsiaTheme="minorEastAsia"/>
        <w:sz w:val="20"/>
      </w:rPr>
      <w:tab/>
    </w:r>
    <w:r w:rsidRPr="00190C3C">
      <w:rPr>
        <w:rFonts w:eastAsiaTheme="minorEastAsia"/>
        <w:sz w:val="20"/>
      </w:rPr>
      <w:t xml:space="preserve">Stand: </w:t>
    </w:r>
    <w:r>
      <w:rPr>
        <w:rFonts w:eastAsiaTheme="minorEastAsia"/>
        <w:sz w:val="20"/>
      </w:rPr>
      <w:t>26</w:t>
    </w:r>
    <w:r w:rsidRPr="00190C3C">
      <w:rPr>
        <w:rFonts w:eastAsiaTheme="minorEastAsia"/>
        <w:sz w:val="20"/>
      </w:rPr>
      <w:t>.0</w:t>
    </w:r>
    <w:r>
      <w:rPr>
        <w:rFonts w:eastAsiaTheme="minorEastAsia"/>
        <w:sz w:val="20"/>
      </w:rPr>
      <w:t>5</w:t>
    </w:r>
    <w:r w:rsidRPr="00190C3C">
      <w:rPr>
        <w:rFonts w:eastAsiaTheme="minorEastAsia"/>
        <w:sz w:val="20"/>
      </w:rPr>
      <w:t>.201</w:t>
    </w:r>
    <w:r>
      <w:rPr>
        <w:rFonts w:eastAsiaTheme="minorEastAsia"/>
        <w:sz w:val="20"/>
      </w:rPr>
      <w:t>8</w:t>
    </w:r>
    <w:r w:rsidRPr="00190C3C">
      <w:rPr>
        <w:rFonts w:eastAsiaTheme="minorEastAsia"/>
        <w:sz w:val="20"/>
      </w:rPr>
      <w:tab/>
      <w:t xml:space="preserve">Seite </w:t>
    </w:r>
    <w:r w:rsidRPr="00190C3C">
      <w:rPr>
        <w:sz w:val="20"/>
      </w:rPr>
      <w:fldChar w:fldCharType="begin"/>
    </w:r>
    <w:r w:rsidRPr="00190C3C">
      <w:rPr>
        <w:sz w:val="20"/>
        <w:szCs w:val="20"/>
      </w:rPr>
      <w:instrText>PAGE   \* MERGEFORMAT</w:instrText>
    </w:r>
    <w:r w:rsidRPr="00190C3C">
      <w:rPr>
        <w:sz w:val="20"/>
      </w:rPr>
      <w:fldChar w:fldCharType="separate"/>
    </w:r>
    <w:r w:rsidR="009E5B9B">
      <w:rPr>
        <w:noProof/>
        <w:sz w:val="20"/>
        <w:szCs w:val="20"/>
      </w:rPr>
      <w:t>40</w:t>
    </w:r>
    <w:r w:rsidRPr="00190C3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D6913" w14:textId="77777777" w:rsidR="002874B2" w:rsidRDefault="002874B2" w:rsidP="00C912D3">
      <w:r>
        <w:separator/>
      </w:r>
    </w:p>
  </w:footnote>
  <w:footnote w:type="continuationSeparator" w:id="0">
    <w:p w14:paraId="7C25E212" w14:textId="77777777" w:rsidR="002874B2" w:rsidRDefault="002874B2" w:rsidP="00C912D3">
      <w:r>
        <w:continuationSeparator/>
      </w:r>
    </w:p>
  </w:footnote>
  <w:footnote w:type="continuationNotice" w:id="1">
    <w:p w14:paraId="53C4A810" w14:textId="77777777" w:rsidR="002874B2" w:rsidRDefault="002874B2"/>
  </w:footnote>
  <w:footnote w:id="2">
    <w:p w14:paraId="01E9A90D" w14:textId="77777777" w:rsidR="00830FB9" w:rsidRPr="00A34E01" w:rsidRDefault="00830FB9" w:rsidP="00DD1DF8">
      <w:pPr>
        <w:pStyle w:val="Funotentext"/>
      </w:pPr>
      <w:r>
        <w:rPr>
          <w:rStyle w:val="Funotenzeichen"/>
        </w:rPr>
        <w:footnoteRef/>
      </w:r>
      <w:r w:rsidRPr="00A34E01">
        <w:tab/>
        <w:t xml:space="preserve">nach </w:t>
      </w:r>
      <w:r w:rsidRPr="00A34E01">
        <w:rPr>
          <w:i/>
        </w:rPr>
        <w:t xml:space="preserve">P.G. Kelley, L.J. </w:t>
      </w:r>
      <w:proofErr w:type="spellStart"/>
      <w:r w:rsidRPr="00A34E01">
        <w:rPr>
          <w:i/>
        </w:rPr>
        <w:t>Cesca</w:t>
      </w:r>
      <w:proofErr w:type="spellEnd"/>
      <w:r w:rsidRPr="00A34E01">
        <w:rPr>
          <w:i/>
        </w:rPr>
        <w:t xml:space="preserve">, J. </w:t>
      </w:r>
      <w:proofErr w:type="spellStart"/>
      <w:r w:rsidRPr="00A34E01">
        <w:rPr>
          <w:i/>
        </w:rPr>
        <w:t>Bresee</w:t>
      </w:r>
      <w:proofErr w:type="spellEnd"/>
      <w:r w:rsidRPr="00A34E01">
        <w:rPr>
          <w:i/>
        </w:rPr>
        <w:t xml:space="preserve">, </w:t>
      </w:r>
      <w:proofErr w:type="spellStart"/>
      <w:r w:rsidRPr="00A34E01">
        <w:rPr>
          <w:i/>
        </w:rPr>
        <w:t>and</w:t>
      </w:r>
      <w:proofErr w:type="spellEnd"/>
      <w:r w:rsidRPr="00A34E01">
        <w:rPr>
          <w:i/>
        </w:rPr>
        <w:t xml:space="preserve"> L.F. </w:t>
      </w:r>
      <w:proofErr w:type="spellStart"/>
      <w:r w:rsidRPr="00A34E01">
        <w:rPr>
          <w:i/>
        </w:rPr>
        <w:t>Cranor</w:t>
      </w:r>
      <w:proofErr w:type="spellEnd"/>
      <w:r w:rsidRPr="00A34E01">
        <w:rPr>
          <w:i/>
        </w:rPr>
        <w:t>,</w:t>
      </w:r>
      <w:r w:rsidRPr="00A34E01">
        <w:t xml:space="preserve"> </w:t>
      </w:r>
      <w:proofErr w:type="spellStart"/>
      <w:r w:rsidRPr="00A34E01">
        <w:t>Standardizing</w:t>
      </w:r>
      <w:proofErr w:type="spellEnd"/>
      <w:r w:rsidRPr="00A34E01">
        <w:t xml:space="preserve"> Privacy </w:t>
      </w:r>
      <w:proofErr w:type="spellStart"/>
      <w:r w:rsidRPr="00A34E01">
        <w:t>Notices</w:t>
      </w:r>
      <w:proofErr w:type="spellEnd"/>
      <w:r w:rsidRPr="00A34E01">
        <w:t xml:space="preserve">: An Online Study </w:t>
      </w:r>
      <w:proofErr w:type="spellStart"/>
      <w:r w:rsidRPr="00A34E01">
        <w:t>of</w:t>
      </w:r>
      <w:proofErr w:type="spellEnd"/>
      <w:r w:rsidRPr="00A34E01">
        <w:t xml:space="preserve"> </w:t>
      </w:r>
      <w:proofErr w:type="spellStart"/>
      <w:r w:rsidRPr="00A34E01">
        <w:t>the</w:t>
      </w:r>
      <w:proofErr w:type="spellEnd"/>
      <w:r w:rsidRPr="00A34E01">
        <w:t xml:space="preserve"> Nutrition Label Approach. CHI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BA6A71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78CE91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C4F05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33E48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948E855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64F0B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CBA9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5EB2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2C7A5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9DEE3C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3479F8"/>
    <w:multiLevelType w:val="hybridMultilevel"/>
    <w:tmpl w:val="C8FAD3DC"/>
    <w:lvl w:ilvl="0" w:tplc="F1A29746">
      <w:start w:val="1"/>
      <w:numFmt w:val="bullet"/>
      <w:pStyle w:val="Aufzhlung2"/>
      <w:lvlText w:val="o"/>
      <w:lvlJc w:val="left"/>
      <w:pPr>
        <w:tabs>
          <w:tab w:val="num" w:pos="476"/>
        </w:tabs>
        <w:ind w:left="476" w:hanging="238"/>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01384C"/>
    <w:multiLevelType w:val="hybridMultilevel"/>
    <w:tmpl w:val="E520BE90"/>
    <w:lvl w:ilvl="0" w:tplc="6CC0621A">
      <w:start w:val="1"/>
      <w:numFmt w:val="bullet"/>
      <w:pStyle w:val="Aufzhlung"/>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304A17"/>
    <w:multiLevelType w:val="hybridMultilevel"/>
    <w:tmpl w:val="2FDEE6C2"/>
    <w:lvl w:ilvl="0" w:tplc="88B0297E">
      <w:start w:val="1"/>
      <w:numFmt w:val="bullet"/>
      <w:pStyle w:val="Problem"/>
      <w:lvlText w:val="P"/>
      <w:lvlJc w:val="left"/>
      <w:pPr>
        <w:tabs>
          <w:tab w:val="num" w:pos="238"/>
        </w:tabs>
        <w:ind w:left="238" w:hanging="238"/>
      </w:pPr>
      <w:rPr>
        <w:rFonts w:ascii="Times New Roman" w:hAnsi="Times New Roman" w:hint="default"/>
        <w:b/>
        <w:i w:val="0"/>
        <w:u w:color="8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3D4392"/>
    <w:multiLevelType w:val="hybridMultilevel"/>
    <w:tmpl w:val="D38ACDB2"/>
    <w:lvl w:ilvl="0" w:tplc="04070001">
      <w:start w:val="1"/>
      <w:numFmt w:val="bullet"/>
      <w:lvlText w:val=""/>
      <w:lvlJc w:val="left"/>
      <w:pPr>
        <w:ind w:left="778" w:hanging="360"/>
      </w:pPr>
      <w:rPr>
        <w:rFonts w:ascii="Symbol" w:hAnsi="Symbol"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14" w15:restartNumberingAfterBreak="0">
    <w:nsid w:val="15EB194C"/>
    <w:multiLevelType w:val="hybridMultilevel"/>
    <w:tmpl w:val="0E2C2C28"/>
    <w:lvl w:ilvl="0" w:tplc="5204C47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E58F9"/>
    <w:multiLevelType w:val="hybridMultilevel"/>
    <w:tmpl w:val="19AC3D3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F8C7F03"/>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2763E2E"/>
    <w:multiLevelType w:val="hybridMultilevel"/>
    <w:tmpl w:val="7BD63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36F1088"/>
    <w:multiLevelType w:val="hybridMultilevel"/>
    <w:tmpl w:val="D7185C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D65D26"/>
    <w:multiLevelType w:val="hybridMultilevel"/>
    <w:tmpl w:val="AB00BABE"/>
    <w:lvl w:ilvl="0" w:tplc="CC2C2EE0">
      <w:start w:val="1"/>
      <w:numFmt w:val="bullet"/>
      <w:pStyle w:val="Aufzhlung3"/>
      <w:lvlText w:val=""/>
      <w:lvlJc w:val="left"/>
      <w:pPr>
        <w:tabs>
          <w:tab w:val="num" w:pos="714"/>
        </w:tabs>
        <w:ind w:left="714" w:hanging="249"/>
      </w:pPr>
      <w:rPr>
        <w:rFonts w:ascii="Wingdings" w:hAnsi="Wingdings" w:hint="default"/>
      </w:rPr>
    </w:lvl>
    <w:lvl w:ilvl="1" w:tplc="CA7A4078">
      <w:start w:val="1"/>
      <w:numFmt w:val="bullet"/>
      <w:lvlText w:val="o"/>
      <w:lvlJc w:val="left"/>
      <w:pPr>
        <w:tabs>
          <w:tab w:val="num" w:pos="1440"/>
        </w:tabs>
        <w:ind w:left="1440" w:hanging="360"/>
      </w:pPr>
      <w:rPr>
        <w:rFonts w:ascii="Courier New" w:hAnsi="Courier New" w:hint="default"/>
      </w:rPr>
    </w:lvl>
    <w:lvl w:ilvl="2" w:tplc="34724804">
      <w:start w:val="1"/>
      <w:numFmt w:val="bullet"/>
      <w:pStyle w:val="Aufzhlung3"/>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8C73F2"/>
    <w:multiLevelType w:val="hybridMultilevel"/>
    <w:tmpl w:val="0FBAB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28D13C2"/>
    <w:multiLevelType w:val="hybridMultilevel"/>
    <w:tmpl w:val="73F29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7393FEC"/>
    <w:multiLevelType w:val="multilevel"/>
    <w:tmpl w:val="4A2C0904"/>
    <w:lvl w:ilvl="0">
      <w:start w:val="1"/>
      <w:numFmt w:val="decimal"/>
      <w:pStyle w:val="berschrift1"/>
      <w:suff w:val="space"/>
      <w:lvlText w:val="%1. Tei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lvlText w:val="§ %2"/>
      <w:lvlJc w:val="left"/>
      <w:pPr>
        <w:tabs>
          <w:tab w:val="num" w:pos="1559"/>
        </w:tabs>
        <w:ind w:left="1559" w:hanging="1134"/>
      </w:pPr>
      <w:rPr>
        <w:rFonts w:hint="default"/>
      </w:rPr>
    </w:lvl>
    <w:lvl w:ilvl="2">
      <w:start w:val="1"/>
      <w:numFmt w:val="upperLetter"/>
      <w:pStyle w:val="berschrift3"/>
      <w:suff w:val="space"/>
      <w:lvlText w:val="%3. "/>
      <w:lvlJc w:val="center"/>
      <w:pPr>
        <w:ind w:left="0" w:firstLine="0"/>
      </w:pPr>
      <w:rPr>
        <w:rFonts w:ascii="Arial" w:hAnsi="Arial" w:cs="Times New Roman" w:hint="default"/>
        <w:b/>
        <w:bCs w:val="0"/>
        <w:i w:val="0"/>
        <w:iCs w:val="0"/>
        <w:caps w:val="0"/>
        <w:smallCaps w:val="0"/>
        <w:strike w:val="0"/>
        <w:dstrike w:val="0"/>
        <w:noProof w:val="0"/>
        <w:vanish w:val="0"/>
        <w:color w:val="000000"/>
        <w:spacing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Roman"/>
      <w:pStyle w:val="berschrift4"/>
      <w:lvlText w:val="%4. "/>
      <w:lvlJc w:val="left"/>
      <w:pPr>
        <w:tabs>
          <w:tab w:val="num" w:pos="709"/>
        </w:tabs>
        <w:ind w:left="709" w:hanging="567"/>
      </w:pPr>
      <w:rPr>
        <w:rFonts w:hint="default"/>
      </w:rPr>
    </w:lvl>
    <w:lvl w:ilvl="4">
      <w:start w:val="1"/>
      <w:numFmt w:val="decimal"/>
      <w:pStyle w:val="berschrift5"/>
      <w:suff w:val="space"/>
      <w:lvlText w:val="%5. "/>
      <w:lvlJc w:val="left"/>
      <w:pPr>
        <w:ind w:left="567" w:hanging="425"/>
      </w:pPr>
      <w:rPr>
        <w:rFonts w:hint="default"/>
      </w:rPr>
    </w:lvl>
    <w:lvl w:ilvl="5">
      <w:start w:val="1"/>
      <w:numFmt w:val="lowerLetter"/>
      <w:pStyle w:val="berschrift6"/>
      <w:suff w:val="space"/>
      <w:lvlText w:val="%6)"/>
      <w:lvlJc w:val="left"/>
      <w:pPr>
        <w:ind w:left="992" w:hanging="425"/>
      </w:pPr>
      <w:rPr>
        <w:rFonts w:hint="default"/>
      </w:rPr>
    </w:lvl>
    <w:lvl w:ilvl="6">
      <w:start w:val="27"/>
      <w:numFmt w:val="lowerLetter"/>
      <w:pStyle w:val="berschrift7"/>
      <w:suff w:val="space"/>
      <w:lvlText w:val="%7)"/>
      <w:lvlJc w:val="left"/>
      <w:pPr>
        <w:ind w:left="567" w:hanging="425"/>
      </w:pPr>
      <w:rPr>
        <w:rFonts w:hint="default"/>
      </w:rPr>
    </w:lvl>
    <w:lvl w:ilvl="7">
      <w:start w:val="1"/>
      <w:numFmt w:val="decimal"/>
      <w:pStyle w:val="berschrift8"/>
      <w:suff w:val="space"/>
      <w:lvlText w:val="(%8)"/>
      <w:lvlJc w:val="left"/>
      <w:pPr>
        <w:ind w:left="425" w:hanging="425"/>
      </w:pPr>
      <w:rPr>
        <w:rFonts w:hint="default"/>
      </w:rPr>
    </w:lvl>
    <w:lvl w:ilvl="8">
      <w:start w:val="1"/>
      <w:numFmt w:val="lowerRoman"/>
      <w:pStyle w:val="berschrift9"/>
      <w:suff w:val="space"/>
      <w:lvlText w:val="(%9)"/>
      <w:lvlJc w:val="left"/>
      <w:pPr>
        <w:ind w:left="425" w:hanging="425"/>
      </w:pPr>
      <w:rPr>
        <w:rFonts w:hint="default"/>
      </w:rPr>
    </w:lvl>
  </w:abstractNum>
  <w:abstractNum w:abstractNumId="23" w15:restartNumberingAfterBreak="0">
    <w:nsid w:val="385E3F2F"/>
    <w:multiLevelType w:val="multilevel"/>
    <w:tmpl w:val="4D0A092E"/>
    <w:styleLink w:val="ArtikelAbschnitt"/>
    <w:lvl w:ilvl="0">
      <w:start w:val="1"/>
      <w:numFmt w:val="decimal"/>
      <w:suff w:val="space"/>
      <w:lvlText w:val="%1. Tei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lvlText w:val="%4. "/>
      <w:lvlJc w:val="left"/>
      <w:pPr>
        <w:tabs>
          <w:tab w:val="num" w:pos="1219"/>
        </w:tabs>
        <w:ind w:left="425" w:firstLine="0"/>
      </w:pPr>
      <w:rPr>
        <w:rFonts w:hint="default"/>
      </w:rPr>
    </w:lvl>
    <w:lvl w:ilvl="4">
      <w:start w:val="1"/>
      <w:numFmt w:val="decimal"/>
      <w:suff w:val="space"/>
      <w:lvlText w:val="%5. "/>
      <w:lvlJc w:val="left"/>
      <w:pPr>
        <w:ind w:left="425" w:firstLine="0"/>
      </w:pPr>
      <w:rPr>
        <w:rFonts w:hint="default"/>
      </w:rPr>
    </w:lvl>
    <w:lvl w:ilvl="5">
      <w:start w:val="1"/>
      <w:numFmt w:val="lowerLetter"/>
      <w:suff w:val="space"/>
      <w:lvlText w:val="%6)"/>
      <w:lvlJc w:val="left"/>
      <w:pPr>
        <w:ind w:left="425" w:firstLine="0"/>
      </w:pPr>
      <w:rPr>
        <w:rFonts w:hint="default"/>
      </w:rPr>
    </w:lvl>
    <w:lvl w:ilvl="6">
      <w:start w:val="27"/>
      <w:numFmt w:val="lowerLetter"/>
      <w:suff w:val="space"/>
      <w:lvlText w:val="%7)"/>
      <w:lvlJc w:val="left"/>
      <w:pPr>
        <w:ind w:left="425" w:firstLine="0"/>
      </w:pPr>
      <w:rPr>
        <w:rFonts w:hint="default"/>
      </w:rPr>
    </w:lvl>
    <w:lvl w:ilvl="7">
      <w:start w:val="1"/>
      <w:numFmt w:val="lowerLetter"/>
      <w:suff w:val="space"/>
      <w:lvlText w:val="%8)"/>
      <w:lvlJc w:val="left"/>
      <w:pPr>
        <w:ind w:left="425" w:firstLine="0"/>
      </w:pPr>
      <w:rPr>
        <w:rFonts w:ascii="Symbol" w:hAnsi="Symbol" w:hint="default"/>
      </w:rPr>
    </w:lvl>
    <w:lvl w:ilvl="8">
      <w:start w:val="27"/>
      <w:numFmt w:val="lowerLetter"/>
      <w:suff w:val="space"/>
      <w:lvlText w:val="%9)"/>
      <w:lvlJc w:val="left"/>
      <w:pPr>
        <w:ind w:left="425" w:firstLine="0"/>
      </w:pPr>
      <w:rPr>
        <w:rFonts w:ascii="Symbol" w:hAnsi="Symbol" w:hint="default"/>
      </w:rPr>
    </w:lvl>
  </w:abstractNum>
  <w:abstractNum w:abstractNumId="24" w15:restartNumberingAfterBreak="0">
    <w:nsid w:val="3E905E1E"/>
    <w:multiLevelType w:val="hybridMultilevel"/>
    <w:tmpl w:val="0F962C2C"/>
    <w:lvl w:ilvl="0" w:tplc="E356EF0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7151E5"/>
    <w:multiLevelType w:val="multilevel"/>
    <w:tmpl w:val="33F0E75E"/>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pStyle w:val="berschriften6"/>
      <w:suff w:val="nothing"/>
      <w:lvlText w:val="%8)"/>
      <w:lvlJc w:val="left"/>
      <w:pPr>
        <w:ind w:left="0" w:firstLine="0"/>
      </w:pPr>
      <w:rPr>
        <w:rFonts w:ascii="Symbol" w:hAnsi="Symbol" w:hint="default"/>
      </w:rPr>
    </w:lvl>
    <w:lvl w:ilvl="8">
      <w:start w:val="1"/>
      <w:numFmt w:val="none"/>
      <w:suff w:val="nothing"/>
      <w:lvlText w:val=""/>
      <w:lvlJc w:val="left"/>
      <w:pPr>
        <w:ind w:left="0" w:firstLine="0"/>
      </w:pPr>
      <w:rPr>
        <w:rFonts w:hint="default"/>
      </w:rPr>
    </w:lvl>
  </w:abstractNum>
  <w:abstractNum w:abstractNumId="26" w15:restartNumberingAfterBreak="0">
    <w:nsid w:val="431D61CC"/>
    <w:multiLevelType w:val="hybridMultilevel"/>
    <w:tmpl w:val="4DBA3FF8"/>
    <w:lvl w:ilvl="0" w:tplc="0407000B">
      <w:start w:val="1"/>
      <w:numFmt w:val="bullet"/>
      <w:lvlText w:val=""/>
      <w:lvlJc w:val="left"/>
      <w:pPr>
        <w:ind w:left="778" w:hanging="360"/>
      </w:pPr>
      <w:rPr>
        <w:rFonts w:ascii="Wingdings" w:hAnsi="Wingdings" w:hint="default"/>
      </w:rPr>
    </w:lvl>
    <w:lvl w:ilvl="1" w:tplc="04070003" w:tentative="1">
      <w:start w:val="1"/>
      <w:numFmt w:val="bullet"/>
      <w:lvlText w:val="o"/>
      <w:lvlJc w:val="left"/>
      <w:pPr>
        <w:ind w:left="1498" w:hanging="360"/>
      </w:pPr>
      <w:rPr>
        <w:rFonts w:ascii="Courier New" w:hAnsi="Courier New" w:cs="Courier New" w:hint="default"/>
      </w:rPr>
    </w:lvl>
    <w:lvl w:ilvl="2" w:tplc="04070005" w:tentative="1">
      <w:start w:val="1"/>
      <w:numFmt w:val="bullet"/>
      <w:lvlText w:val=""/>
      <w:lvlJc w:val="left"/>
      <w:pPr>
        <w:ind w:left="2218" w:hanging="360"/>
      </w:pPr>
      <w:rPr>
        <w:rFonts w:ascii="Wingdings" w:hAnsi="Wingdings" w:hint="default"/>
      </w:rPr>
    </w:lvl>
    <w:lvl w:ilvl="3" w:tplc="04070001" w:tentative="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4AE87A09"/>
    <w:multiLevelType w:val="multilevel"/>
    <w:tmpl w:val="E5E4F9EA"/>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suff w:val="nothing"/>
      <w:lvlText w:val="%8)"/>
      <w:lvlJc w:val="left"/>
      <w:pPr>
        <w:ind w:left="0" w:firstLine="0"/>
      </w:pPr>
      <w:rPr>
        <w:rFonts w:ascii="Symbol" w:hAnsi="Symbol" w:hint="default"/>
      </w:rPr>
    </w:lvl>
    <w:lvl w:ilvl="8">
      <w:start w:val="1"/>
      <w:numFmt w:val="decimal"/>
      <w:pStyle w:val="berschriften7"/>
      <w:suff w:val="nothing"/>
      <w:lvlText w:val="(%9)"/>
      <w:lvlJc w:val="left"/>
      <w:pPr>
        <w:ind w:left="0" w:firstLine="0"/>
      </w:pPr>
      <w:rPr>
        <w:rFonts w:hint="default"/>
      </w:rPr>
    </w:lvl>
  </w:abstractNum>
  <w:abstractNum w:abstractNumId="28" w15:restartNumberingAfterBreak="0">
    <w:nsid w:val="4BB23A96"/>
    <w:multiLevelType w:val="multilevel"/>
    <w:tmpl w:val="AB36BD28"/>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pStyle w:val="berschriften2"/>
      <w:suff w:val="space"/>
      <w:lvlText w:val="%4. "/>
      <w:lvlJc w:val="left"/>
      <w:pPr>
        <w:ind w:left="0" w:firstLine="425"/>
      </w:pPr>
      <w:rPr>
        <w:rFonts w:hint="default"/>
      </w:rPr>
    </w:lvl>
    <w:lvl w:ilvl="4">
      <w:start w:val="1"/>
      <w:numFmt w:val="decimal"/>
      <w:suff w:val="space"/>
      <w:lvlText w:val="%5. "/>
      <w:lvlJc w:val="left"/>
      <w:pPr>
        <w:ind w:left="0" w:firstLine="567"/>
      </w:pPr>
      <w:rPr>
        <w:rFonts w:hint="default"/>
      </w:rPr>
    </w:lvl>
    <w:lvl w:ilvl="5">
      <w:start w:val="27"/>
      <w:numFmt w:val="lowerLetter"/>
      <w:suff w:val="space"/>
      <w:lvlText w:val="%6)"/>
      <w:lvlJc w:val="left"/>
      <w:pPr>
        <w:ind w:left="0" w:firstLine="0"/>
      </w:pPr>
      <w:rPr>
        <w:rFonts w:hint="default"/>
      </w:rPr>
    </w:lvl>
    <w:lvl w:ilvl="6">
      <w:start w:val="1"/>
      <w:numFmt w:val="lowerLetter"/>
      <w:suff w:val="space"/>
      <w:lvlText w:val="%7)"/>
      <w:lvlJc w:val="left"/>
      <w:pPr>
        <w:ind w:left="0" w:firstLine="0"/>
      </w:pPr>
      <w:rPr>
        <w:rFonts w:ascii="Symbol" w:hAnsi="Symbol" w:hint="default"/>
      </w:rPr>
    </w:lvl>
    <w:lvl w:ilvl="7">
      <w:start w:val="27"/>
      <w:numFmt w:val="lowerLetter"/>
      <w:suff w:val="space"/>
      <w:lvlText w:val="%8)"/>
      <w:lvlJc w:val="left"/>
      <w:pPr>
        <w:ind w:left="0" w:firstLine="0"/>
      </w:pPr>
      <w:rPr>
        <w:rFonts w:ascii="Symbol" w:hAnsi="Symbol" w:hint="default"/>
      </w:rPr>
    </w:lvl>
    <w:lvl w:ilvl="8">
      <w:start w:val="1"/>
      <w:numFmt w:val="decimal"/>
      <w:suff w:val="space"/>
      <w:lvlText w:val="(%9)"/>
      <w:lvlJc w:val="left"/>
      <w:pPr>
        <w:ind w:left="0" w:firstLine="0"/>
      </w:pPr>
      <w:rPr>
        <w:rFonts w:hint="default"/>
      </w:rPr>
    </w:lvl>
  </w:abstractNum>
  <w:abstractNum w:abstractNumId="29" w15:restartNumberingAfterBreak="0">
    <w:nsid w:val="55C1083E"/>
    <w:multiLevelType w:val="hybridMultilevel"/>
    <w:tmpl w:val="D4CC4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6F7518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64A341F"/>
    <w:multiLevelType w:val="multilevel"/>
    <w:tmpl w:val="E2160948"/>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enParagraph"/>
      <w:suff w:val="space"/>
      <w:lvlText w:val="§ %2."/>
      <w:lvlJc w:val="left"/>
      <w:pPr>
        <w:ind w:left="0" w:firstLine="0"/>
      </w:pPr>
      <w:rPr>
        <w:rFonts w:hint="default"/>
      </w:rPr>
    </w:lvl>
    <w:lvl w:ilvl="2">
      <w:start w:val="1"/>
      <w:numFmt w:val="upperLetter"/>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suff w:val="nothing"/>
      <w:lvlText w:val="%5. "/>
      <w:lvlJc w:val="left"/>
      <w:pPr>
        <w:ind w:left="0" w:firstLine="567"/>
      </w:pPr>
      <w:rPr>
        <w:rFonts w:hint="default"/>
      </w:rPr>
    </w:lvl>
    <w:lvl w:ilvl="5">
      <w:start w:val="27"/>
      <w:numFmt w:val="lowerLetter"/>
      <w:suff w:val="nothing"/>
      <w:lvlText w:val="%6)"/>
      <w:lvlJc w:val="left"/>
      <w:pPr>
        <w:ind w:left="0" w:firstLine="0"/>
      </w:pPr>
      <w:rPr>
        <w:rFonts w:hint="default"/>
      </w:rPr>
    </w:lvl>
    <w:lvl w:ilvl="6">
      <w:start w:val="1"/>
      <w:numFmt w:val="lowerLetter"/>
      <w:suff w:val="nothing"/>
      <w:lvlText w:val="%7)"/>
      <w:lvlJc w:val="left"/>
      <w:pPr>
        <w:ind w:left="0" w:firstLine="0"/>
      </w:pPr>
      <w:rPr>
        <w:rFonts w:ascii="Symbol" w:hAnsi="Symbol" w:hint="default"/>
      </w:rPr>
    </w:lvl>
    <w:lvl w:ilvl="7">
      <w:start w:val="27"/>
      <w:numFmt w:val="lowerLetter"/>
      <w:suff w:val="nothing"/>
      <w:lvlText w:val="%8)"/>
      <w:lvlJc w:val="left"/>
      <w:pPr>
        <w:ind w:left="0" w:firstLine="0"/>
      </w:pPr>
      <w:rPr>
        <w:rFonts w:ascii="Symbol" w:hAnsi="Symbol" w:hint="default"/>
      </w:rPr>
    </w:lvl>
    <w:lvl w:ilvl="8">
      <w:start w:val="1"/>
      <w:numFmt w:val="decimal"/>
      <w:suff w:val="nothing"/>
      <w:lvlText w:val="(%9)"/>
      <w:lvlJc w:val="left"/>
      <w:pPr>
        <w:ind w:left="0" w:firstLine="0"/>
      </w:pPr>
      <w:rPr>
        <w:rFonts w:hint="default"/>
      </w:rPr>
    </w:lvl>
  </w:abstractNum>
  <w:abstractNum w:abstractNumId="32" w15:restartNumberingAfterBreak="0">
    <w:nsid w:val="79FF7B83"/>
    <w:multiLevelType w:val="multilevel"/>
    <w:tmpl w:val="3FEEF374"/>
    <w:lvl w:ilvl="0">
      <w:start w:val="1"/>
      <w:numFmt w:val="decimal"/>
      <w:suff w:val="space"/>
      <w:lvlText w:val="%1. Kapitel:  "/>
      <w:lvlJc w:val="left"/>
      <w:pPr>
        <w:ind w:left="0" w:firstLine="0"/>
      </w:pPr>
      <w:rPr>
        <w:rFonts w:cs="Times New Roman" w:hint="default"/>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 %2."/>
      <w:lvlJc w:val="left"/>
      <w:pPr>
        <w:ind w:left="0" w:firstLine="0"/>
      </w:pPr>
      <w:rPr>
        <w:rFonts w:hint="default"/>
      </w:rPr>
    </w:lvl>
    <w:lvl w:ilvl="2">
      <w:start w:val="1"/>
      <w:numFmt w:val="upperLetter"/>
      <w:pStyle w:val="berschriften1"/>
      <w:suff w:val="space"/>
      <w:lvlText w:val="%3. "/>
      <w:lvlJc w:val="left"/>
      <w:pPr>
        <w:ind w:left="0" w:firstLine="284"/>
      </w:pPr>
      <w:rPr>
        <w:rFonts w:hint="default"/>
      </w:rPr>
    </w:lvl>
    <w:lvl w:ilvl="3">
      <w:start w:val="1"/>
      <w:numFmt w:val="upperRoman"/>
      <w:suff w:val="space"/>
      <w:lvlText w:val="%4. "/>
      <w:lvlJc w:val="left"/>
      <w:pPr>
        <w:ind w:left="0" w:firstLine="425"/>
      </w:pPr>
      <w:rPr>
        <w:rFonts w:hint="default"/>
      </w:rPr>
    </w:lvl>
    <w:lvl w:ilvl="4">
      <w:start w:val="1"/>
      <w:numFmt w:val="decimal"/>
      <w:pStyle w:val="berschriften3"/>
      <w:suff w:val="space"/>
      <w:lvlText w:val="%5. "/>
      <w:lvlJc w:val="left"/>
      <w:pPr>
        <w:ind w:left="0" w:firstLine="567"/>
      </w:pPr>
      <w:rPr>
        <w:rFonts w:hint="default"/>
      </w:rPr>
    </w:lvl>
    <w:lvl w:ilvl="5">
      <w:start w:val="27"/>
      <w:numFmt w:val="lowerLetter"/>
      <w:pStyle w:val="berschriften4"/>
      <w:suff w:val="space"/>
      <w:lvlText w:val="%6)"/>
      <w:lvlJc w:val="left"/>
      <w:pPr>
        <w:ind w:left="0" w:firstLine="0"/>
      </w:pPr>
      <w:rPr>
        <w:rFonts w:hint="default"/>
      </w:rPr>
    </w:lvl>
    <w:lvl w:ilvl="6">
      <w:start w:val="1"/>
      <w:numFmt w:val="lowerLetter"/>
      <w:suff w:val="space"/>
      <w:lvlText w:val="%7)"/>
      <w:lvlJc w:val="left"/>
      <w:pPr>
        <w:ind w:left="0" w:firstLine="0"/>
      </w:pPr>
      <w:rPr>
        <w:rFonts w:ascii="Symbol" w:hAnsi="Symbol" w:hint="default"/>
      </w:rPr>
    </w:lvl>
    <w:lvl w:ilvl="7">
      <w:start w:val="27"/>
      <w:numFmt w:val="lowerLetter"/>
      <w:suff w:val="space"/>
      <w:lvlText w:val="%8)"/>
      <w:lvlJc w:val="left"/>
      <w:pPr>
        <w:ind w:left="0" w:firstLine="0"/>
      </w:pPr>
      <w:rPr>
        <w:rFonts w:ascii="Symbol" w:hAnsi="Symbol" w:hint="default"/>
      </w:rPr>
    </w:lvl>
    <w:lvl w:ilvl="8">
      <w:start w:val="1"/>
      <w:numFmt w:val="decimal"/>
      <w:suff w:val="space"/>
      <w:lvlText w:val="(%9)"/>
      <w:lvlJc w:val="left"/>
      <w:pPr>
        <w:ind w:left="0" w:firstLine="0"/>
      </w:pPr>
      <w:rPr>
        <w:rFonts w:hint="default"/>
      </w:rPr>
    </w:lvl>
  </w:abstractNum>
  <w:abstractNum w:abstractNumId="33" w15:restartNumberingAfterBreak="0">
    <w:nsid w:val="7B9A2200"/>
    <w:multiLevelType w:val="hybridMultilevel"/>
    <w:tmpl w:val="2C9A6F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0"/>
  </w:num>
  <w:num w:numId="14">
    <w:abstractNumId w:val="12"/>
  </w:num>
  <w:num w:numId="15">
    <w:abstractNumId w:val="16"/>
  </w:num>
  <w:num w:numId="16">
    <w:abstractNumId w:val="30"/>
  </w:num>
  <w:num w:numId="17">
    <w:abstractNumId w:val="23"/>
  </w:num>
  <w:num w:numId="18">
    <w:abstractNumId w:val="28"/>
  </w:num>
  <w:num w:numId="19">
    <w:abstractNumId w:val="32"/>
  </w:num>
  <w:num w:numId="20">
    <w:abstractNumId w:val="25"/>
  </w:num>
  <w:num w:numId="21">
    <w:abstractNumId w:val="27"/>
  </w:num>
  <w:num w:numId="22">
    <w:abstractNumId w:val="31"/>
  </w:num>
  <w:num w:numId="23">
    <w:abstractNumId w:val="22"/>
  </w:num>
  <w:num w:numId="24">
    <w:abstractNumId w:val="14"/>
  </w:num>
  <w:num w:numId="25">
    <w:abstractNumId w:val="2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29">
    <w:abstractNumId w:val="22"/>
  </w:num>
  <w:num w:numId="30">
    <w:abstractNumId w:val="24"/>
  </w:num>
  <w:num w:numId="31">
    <w:abstractNumId w:val="20"/>
  </w:num>
  <w:num w:numId="32">
    <w:abstractNumId w:val="3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4">
    <w:abstractNumId w:val="18"/>
  </w:num>
  <w:num w:numId="35">
    <w:abstractNumId w:val="26"/>
  </w:num>
  <w:num w:numId="36">
    <w:abstractNumId w:val="13"/>
  </w:num>
  <w:num w:numId="37">
    <w:abstractNumId w:val="21"/>
  </w:num>
  <w:num w:numId="38">
    <w:abstractNumId w:val="15"/>
  </w:num>
  <w:num w:numId="39">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06"/>
    <w:rsid w:val="00000E1F"/>
    <w:rsid w:val="00002178"/>
    <w:rsid w:val="00002A21"/>
    <w:rsid w:val="00002A22"/>
    <w:rsid w:val="00002F45"/>
    <w:rsid w:val="00003F85"/>
    <w:rsid w:val="0000442D"/>
    <w:rsid w:val="00004589"/>
    <w:rsid w:val="000046A9"/>
    <w:rsid w:val="0000478F"/>
    <w:rsid w:val="00004857"/>
    <w:rsid w:val="0000581A"/>
    <w:rsid w:val="00005D64"/>
    <w:rsid w:val="0000715F"/>
    <w:rsid w:val="000071DC"/>
    <w:rsid w:val="000073AC"/>
    <w:rsid w:val="00007FD7"/>
    <w:rsid w:val="000100E4"/>
    <w:rsid w:val="00010B70"/>
    <w:rsid w:val="00011298"/>
    <w:rsid w:val="00011C99"/>
    <w:rsid w:val="00012157"/>
    <w:rsid w:val="00012E26"/>
    <w:rsid w:val="00013684"/>
    <w:rsid w:val="00013BAB"/>
    <w:rsid w:val="00015345"/>
    <w:rsid w:val="00015A31"/>
    <w:rsid w:val="000164C2"/>
    <w:rsid w:val="00016CF2"/>
    <w:rsid w:val="000179FE"/>
    <w:rsid w:val="00020121"/>
    <w:rsid w:val="0002025E"/>
    <w:rsid w:val="0002084B"/>
    <w:rsid w:val="00020A0B"/>
    <w:rsid w:val="00020CC0"/>
    <w:rsid w:val="000214CE"/>
    <w:rsid w:val="000214D5"/>
    <w:rsid w:val="00021594"/>
    <w:rsid w:val="000216B7"/>
    <w:rsid w:val="0002201A"/>
    <w:rsid w:val="00022FEA"/>
    <w:rsid w:val="00023343"/>
    <w:rsid w:val="0002363D"/>
    <w:rsid w:val="00024D11"/>
    <w:rsid w:val="0002597C"/>
    <w:rsid w:val="000265F8"/>
    <w:rsid w:val="00026628"/>
    <w:rsid w:val="00026E5C"/>
    <w:rsid w:val="00027F77"/>
    <w:rsid w:val="00030870"/>
    <w:rsid w:val="00030CC2"/>
    <w:rsid w:val="000312F0"/>
    <w:rsid w:val="00031CA9"/>
    <w:rsid w:val="00032257"/>
    <w:rsid w:val="00032863"/>
    <w:rsid w:val="000328BB"/>
    <w:rsid w:val="00032BEC"/>
    <w:rsid w:val="00041627"/>
    <w:rsid w:val="00044117"/>
    <w:rsid w:val="00044986"/>
    <w:rsid w:val="00044AC6"/>
    <w:rsid w:val="0004593B"/>
    <w:rsid w:val="00046BB2"/>
    <w:rsid w:val="000473F5"/>
    <w:rsid w:val="00050CC7"/>
    <w:rsid w:val="00051587"/>
    <w:rsid w:val="000516A1"/>
    <w:rsid w:val="000530DE"/>
    <w:rsid w:val="00053361"/>
    <w:rsid w:val="00053694"/>
    <w:rsid w:val="00053B17"/>
    <w:rsid w:val="0005575A"/>
    <w:rsid w:val="00055821"/>
    <w:rsid w:val="000566E0"/>
    <w:rsid w:val="00056CA6"/>
    <w:rsid w:val="0005749E"/>
    <w:rsid w:val="000575C4"/>
    <w:rsid w:val="000577A8"/>
    <w:rsid w:val="00060276"/>
    <w:rsid w:val="00060727"/>
    <w:rsid w:val="000607AC"/>
    <w:rsid w:val="0006169A"/>
    <w:rsid w:val="00061A33"/>
    <w:rsid w:val="00062BDC"/>
    <w:rsid w:val="00063DB8"/>
    <w:rsid w:val="0006438B"/>
    <w:rsid w:val="00065D23"/>
    <w:rsid w:val="00065DCE"/>
    <w:rsid w:val="0006644A"/>
    <w:rsid w:val="00071257"/>
    <w:rsid w:val="00071536"/>
    <w:rsid w:val="00071AC4"/>
    <w:rsid w:val="00071CC4"/>
    <w:rsid w:val="000723E2"/>
    <w:rsid w:val="00075E6B"/>
    <w:rsid w:val="000761AB"/>
    <w:rsid w:val="00076370"/>
    <w:rsid w:val="000767D8"/>
    <w:rsid w:val="000769BB"/>
    <w:rsid w:val="00076AEA"/>
    <w:rsid w:val="00080CB7"/>
    <w:rsid w:val="00081731"/>
    <w:rsid w:val="000819DC"/>
    <w:rsid w:val="00082AC5"/>
    <w:rsid w:val="00082AD3"/>
    <w:rsid w:val="00082C53"/>
    <w:rsid w:val="00082FC8"/>
    <w:rsid w:val="000842C1"/>
    <w:rsid w:val="0008496E"/>
    <w:rsid w:val="00085C6C"/>
    <w:rsid w:val="00086076"/>
    <w:rsid w:val="00086268"/>
    <w:rsid w:val="000877CD"/>
    <w:rsid w:val="00087FD9"/>
    <w:rsid w:val="000903C9"/>
    <w:rsid w:val="00090DCD"/>
    <w:rsid w:val="000916D2"/>
    <w:rsid w:val="00092784"/>
    <w:rsid w:val="0009354A"/>
    <w:rsid w:val="000938E3"/>
    <w:rsid w:val="00093A95"/>
    <w:rsid w:val="00094223"/>
    <w:rsid w:val="000945B1"/>
    <w:rsid w:val="00094C8F"/>
    <w:rsid w:val="00095130"/>
    <w:rsid w:val="00095D16"/>
    <w:rsid w:val="00096659"/>
    <w:rsid w:val="00096776"/>
    <w:rsid w:val="00097AEA"/>
    <w:rsid w:val="00097CAE"/>
    <w:rsid w:val="000A0B1D"/>
    <w:rsid w:val="000A0F1C"/>
    <w:rsid w:val="000A1037"/>
    <w:rsid w:val="000A2F86"/>
    <w:rsid w:val="000A31A4"/>
    <w:rsid w:val="000A3538"/>
    <w:rsid w:val="000A37A4"/>
    <w:rsid w:val="000A3D5F"/>
    <w:rsid w:val="000A4039"/>
    <w:rsid w:val="000A67BB"/>
    <w:rsid w:val="000A767E"/>
    <w:rsid w:val="000A7B34"/>
    <w:rsid w:val="000A7DE1"/>
    <w:rsid w:val="000B0DEF"/>
    <w:rsid w:val="000B1157"/>
    <w:rsid w:val="000B1D9D"/>
    <w:rsid w:val="000B2148"/>
    <w:rsid w:val="000B2703"/>
    <w:rsid w:val="000B2E2F"/>
    <w:rsid w:val="000B3076"/>
    <w:rsid w:val="000B3752"/>
    <w:rsid w:val="000B3B88"/>
    <w:rsid w:val="000B4907"/>
    <w:rsid w:val="000B5141"/>
    <w:rsid w:val="000B5516"/>
    <w:rsid w:val="000B6874"/>
    <w:rsid w:val="000B6BD5"/>
    <w:rsid w:val="000C23F8"/>
    <w:rsid w:val="000C2CFC"/>
    <w:rsid w:val="000C3578"/>
    <w:rsid w:val="000C35B4"/>
    <w:rsid w:val="000C5063"/>
    <w:rsid w:val="000C506D"/>
    <w:rsid w:val="000C7497"/>
    <w:rsid w:val="000C7DDE"/>
    <w:rsid w:val="000D018C"/>
    <w:rsid w:val="000D0400"/>
    <w:rsid w:val="000D05A6"/>
    <w:rsid w:val="000D2443"/>
    <w:rsid w:val="000D2842"/>
    <w:rsid w:val="000D32D7"/>
    <w:rsid w:val="000D34BC"/>
    <w:rsid w:val="000D3BB8"/>
    <w:rsid w:val="000D3E3D"/>
    <w:rsid w:val="000D49E6"/>
    <w:rsid w:val="000D5A58"/>
    <w:rsid w:val="000D5BB4"/>
    <w:rsid w:val="000D6438"/>
    <w:rsid w:val="000D6B47"/>
    <w:rsid w:val="000D6D85"/>
    <w:rsid w:val="000E0181"/>
    <w:rsid w:val="000E1D73"/>
    <w:rsid w:val="000E21B5"/>
    <w:rsid w:val="000E434C"/>
    <w:rsid w:val="000E47CE"/>
    <w:rsid w:val="000E590C"/>
    <w:rsid w:val="000E639E"/>
    <w:rsid w:val="000E7C30"/>
    <w:rsid w:val="000F054A"/>
    <w:rsid w:val="000F0DBA"/>
    <w:rsid w:val="000F1202"/>
    <w:rsid w:val="000F2721"/>
    <w:rsid w:val="000F2A00"/>
    <w:rsid w:val="000F3207"/>
    <w:rsid w:val="000F375C"/>
    <w:rsid w:val="000F4C37"/>
    <w:rsid w:val="000F584D"/>
    <w:rsid w:val="000F70FC"/>
    <w:rsid w:val="000F7253"/>
    <w:rsid w:val="001001EE"/>
    <w:rsid w:val="00102024"/>
    <w:rsid w:val="001025E7"/>
    <w:rsid w:val="00102923"/>
    <w:rsid w:val="00103855"/>
    <w:rsid w:val="0010443F"/>
    <w:rsid w:val="00104784"/>
    <w:rsid w:val="001049CE"/>
    <w:rsid w:val="00105284"/>
    <w:rsid w:val="001058C9"/>
    <w:rsid w:val="0010648E"/>
    <w:rsid w:val="00106871"/>
    <w:rsid w:val="0011039D"/>
    <w:rsid w:val="00110634"/>
    <w:rsid w:val="0011089F"/>
    <w:rsid w:val="00111D1B"/>
    <w:rsid w:val="001126A0"/>
    <w:rsid w:val="00112C05"/>
    <w:rsid w:val="00113418"/>
    <w:rsid w:val="001134B5"/>
    <w:rsid w:val="00113855"/>
    <w:rsid w:val="0011419A"/>
    <w:rsid w:val="0011433F"/>
    <w:rsid w:val="00114480"/>
    <w:rsid w:val="001151DA"/>
    <w:rsid w:val="0011534B"/>
    <w:rsid w:val="00115607"/>
    <w:rsid w:val="001158F7"/>
    <w:rsid w:val="0011693E"/>
    <w:rsid w:val="00117E86"/>
    <w:rsid w:val="0012075B"/>
    <w:rsid w:val="001213B9"/>
    <w:rsid w:val="00121690"/>
    <w:rsid w:val="001221D6"/>
    <w:rsid w:val="00124DF4"/>
    <w:rsid w:val="00124ECD"/>
    <w:rsid w:val="00125296"/>
    <w:rsid w:val="00125A4B"/>
    <w:rsid w:val="00127B6F"/>
    <w:rsid w:val="001300AD"/>
    <w:rsid w:val="00130316"/>
    <w:rsid w:val="00130799"/>
    <w:rsid w:val="001311D7"/>
    <w:rsid w:val="00131518"/>
    <w:rsid w:val="001317D4"/>
    <w:rsid w:val="00131F68"/>
    <w:rsid w:val="001323AE"/>
    <w:rsid w:val="00132AF8"/>
    <w:rsid w:val="00132D0D"/>
    <w:rsid w:val="00132E8C"/>
    <w:rsid w:val="00132F8B"/>
    <w:rsid w:val="0013498C"/>
    <w:rsid w:val="00137107"/>
    <w:rsid w:val="00137111"/>
    <w:rsid w:val="00140166"/>
    <w:rsid w:val="001403BE"/>
    <w:rsid w:val="00140FC2"/>
    <w:rsid w:val="00141965"/>
    <w:rsid w:val="0014445D"/>
    <w:rsid w:val="00145377"/>
    <w:rsid w:val="00145832"/>
    <w:rsid w:val="00147D5B"/>
    <w:rsid w:val="001514D2"/>
    <w:rsid w:val="0015317B"/>
    <w:rsid w:val="00153B97"/>
    <w:rsid w:val="00153CC4"/>
    <w:rsid w:val="00156F7E"/>
    <w:rsid w:val="00157D3A"/>
    <w:rsid w:val="00161236"/>
    <w:rsid w:val="0016243B"/>
    <w:rsid w:val="0016267C"/>
    <w:rsid w:val="001629B5"/>
    <w:rsid w:val="001637F1"/>
    <w:rsid w:val="00163CFD"/>
    <w:rsid w:val="00164333"/>
    <w:rsid w:val="00164DD4"/>
    <w:rsid w:val="00165125"/>
    <w:rsid w:val="0016535A"/>
    <w:rsid w:val="0016555F"/>
    <w:rsid w:val="001655F4"/>
    <w:rsid w:val="00165715"/>
    <w:rsid w:val="001701A6"/>
    <w:rsid w:val="00170302"/>
    <w:rsid w:val="00172E0E"/>
    <w:rsid w:val="0017388A"/>
    <w:rsid w:val="00174B81"/>
    <w:rsid w:val="00174D54"/>
    <w:rsid w:val="001757BB"/>
    <w:rsid w:val="00175E1B"/>
    <w:rsid w:val="001769C8"/>
    <w:rsid w:val="00180302"/>
    <w:rsid w:val="00180875"/>
    <w:rsid w:val="001818F9"/>
    <w:rsid w:val="00181A73"/>
    <w:rsid w:val="00181EE6"/>
    <w:rsid w:val="00182902"/>
    <w:rsid w:val="00182A68"/>
    <w:rsid w:val="00183017"/>
    <w:rsid w:val="00183309"/>
    <w:rsid w:val="001836CF"/>
    <w:rsid w:val="00183994"/>
    <w:rsid w:val="00184C7B"/>
    <w:rsid w:val="00184CBB"/>
    <w:rsid w:val="0018583E"/>
    <w:rsid w:val="00185EF5"/>
    <w:rsid w:val="00187198"/>
    <w:rsid w:val="00187839"/>
    <w:rsid w:val="00190361"/>
    <w:rsid w:val="00190C3C"/>
    <w:rsid w:val="00190D81"/>
    <w:rsid w:val="0019146D"/>
    <w:rsid w:val="00191530"/>
    <w:rsid w:val="00191A1E"/>
    <w:rsid w:val="00191D3B"/>
    <w:rsid w:val="001924D1"/>
    <w:rsid w:val="00192821"/>
    <w:rsid w:val="0019530A"/>
    <w:rsid w:val="00195A62"/>
    <w:rsid w:val="00196937"/>
    <w:rsid w:val="001970E4"/>
    <w:rsid w:val="00197104"/>
    <w:rsid w:val="0019778B"/>
    <w:rsid w:val="001A0D46"/>
    <w:rsid w:val="001A1BB8"/>
    <w:rsid w:val="001A1F4B"/>
    <w:rsid w:val="001A3EB5"/>
    <w:rsid w:val="001A405B"/>
    <w:rsid w:val="001A5FEC"/>
    <w:rsid w:val="001A6BFC"/>
    <w:rsid w:val="001A75A4"/>
    <w:rsid w:val="001A7BE6"/>
    <w:rsid w:val="001B013B"/>
    <w:rsid w:val="001B1680"/>
    <w:rsid w:val="001B1F9F"/>
    <w:rsid w:val="001B3570"/>
    <w:rsid w:val="001B4252"/>
    <w:rsid w:val="001B4CE2"/>
    <w:rsid w:val="001B521A"/>
    <w:rsid w:val="001B5952"/>
    <w:rsid w:val="001B688A"/>
    <w:rsid w:val="001B6E34"/>
    <w:rsid w:val="001B77EB"/>
    <w:rsid w:val="001C193A"/>
    <w:rsid w:val="001C2044"/>
    <w:rsid w:val="001C2AB9"/>
    <w:rsid w:val="001C2E95"/>
    <w:rsid w:val="001C3841"/>
    <w:rsid w:val="001C45D7"/>
    <w:rsid w:val="001C473B"/>
    <w:rsid w:val="001C518A"/>
    <w:rsid w:val="001C51D6"/>
    <w:rsid w:val="001C6C8A"/>
    <w:rsid w:val="001C6CD0"/>
    <w:rsid w:val="001D2CB1"/>
    <w:rsid w:val="001D58B4"/>
    <w:rsid w:val="001D68B3"/>
    <w:rsid w:val="001D6BBD"/>
    <w:rsid w:val="001D6DC3"/>
    <w:rsid w:val="001D7585"/>
    <w:rsid w:val="001E106A"/>
    <w:rsid w:val="001E183C"/>
    <w:rsid w:val="001E39B2"/>
    <w:rsid w:val="001E3D2A"/>
    <w:rsid w:val="001E51ED"/>
    <w:rsid w:val="001E5300"/>
    <w:rsid w:val="001E541B"/>
    <w:rsid w:val="001E708C"/>
    <w:rsid w:val="001F034E"/>
    <w:rsid w:val="001F0887"/>
    <w:rsid w:val="001F1B71"/>
    <w:rsid w:val="001F30F4"/>
    <w:rsid w:val="001F37E6"/>
    <w:rsid w:val="001F38DA"/>
    <w:rsid w:val="001F3D16"/>
    <w:rsid w:val="001F4044"/>
    <w:rsid w:val="001F42D6"/>
    <w:rsid w:val="001F4633"/>
    <w:rsid w:val="001F4C49"/>
    <w:rsid w:val="001F4D0C"/>
    <w:rsid w:val="001F5947"/>
    <w:rsid w:val="00200FB3"/>
    <w:rsid w:val="00201085"/>
    <w:rsid w:val="00201EBC"/>
    <w:rsid w:val="00202023"/>
    <w:rsid w:val="00202ADC"/>
    <w:rsid w:val="002033D7"/>
    <w:rsid w:val="002033E5"/>
    <w:rsid w:val="00203696"/>
    <w:rsid w:val="00204041"/>
    <w:rsid w:val="00204372"/>
    <w:rsid w:val="002043E6"/>
    <w:rsid w:val="00204F10"/>
    <w:rsid w:val="00205028"/>
    <w:rsid w:val="00205225"/>
    <w:rsid w:val="00207FB6"/>
    <w:rsid w:val="002102F6"/>
    <w:rsid w:val="00210C8D"/>
    <w:rsid w:val="00211C56"/>
    <w:rsid w:val="00211DF6"/>
    <w:rsid w:val="00212E03"/>
    <w:rsid w:val="00213266"/>
    <w:rsid w:val="002136A1"/>
    <w:rsid w:val="00213C2E"/>
    <w:rsid w:val="0021585C"/>
    <w:rsid w:val="00216216"/>
    <w:rsid w:val="0021666E"/>
    <w:rsid w:val="00217091"/>
    <w:rsid w:val="002175E1"/>
    <w:rsid w:val="00221616"/>
    <w:rsid w:val="00221FD7"/>
    <w:rsid w:val="002227EE"/>
    <w:rsid w:val="00222D50"/>
    <w:rsid w:val="00223019"/>
    <w:rsid w:val="00223C47"/>
    <w:rsid w:val="002240BA"/>
    <w:rsid w:val="002248DD"/>
    <w:rsid w:val="00224CF3"/>
    <w:rsid w:val="00224F2D"/>
    <w:rsid w:val="0022597A"/>
    <w:rsid w:val="002269AE"/>
    <w:rsid w:val="00226E74"/>
    <w:rsid w:val="0022730F"/>
    <w:rsid w:val="00230BAB"/>
    <w:rsid w:val="00230D17"/>
    <w:rsid w:val="00230EF2"/>
    <w:rsid w:val="00231394"/>
    <w:rsid w:val="002314B3"/>
    <w:rsid w:val="00231853"/>
    <w:rsid w:val="00232708"/>
    <w:rsid w:val="0023334B"/>
    <w:rsid w:val="00233ACF"/>
    <w:rsid w:val="002340E9"/>
    <w:rsid w:val="002346B5"/>
    <w:rsid w:val="00234EBC"/>
    <w:rsid w:val="00236846"/>
    <w:rsid w:val="002376C3"/>
    <w:rsid w:val="002409F0"/>
    <w:rsid w:val="00240A1F"/>
    <w:rsid w:val="0024155F"/>
    <w:rsid w:val="002416D1"/>
    <w:rsid w:val="002425D0"/>
    <w:rsid w:val="002428A0"/>
    <w:rsid w:val="00242D83"/>
    <w:rsid w:val="00243A83"/>
    <w:rsid w:val="002452B8"/>
    <w:rsid w:val="00245C3E"/>
    <w:rsid w:val="00247738"/>
    <w:rsid w:val="00247B61"/>
    <w:rsid w:val="002502EB"/>
    <w:rsid w:val="002504C1"/>
    <w:rsid w:val="0025176C"/>
    <w:rsid w:val="00251934"/>
    <w:rsid w:val="00253B70"/>
    <w:rsid w:val="00254AD8"/>
    <w:rsid w:val="00254C3D"/>
    <w:rsid w:val="0025560F"/>
    <w:rsid w:val="002567A7"/>
    <w:rsid w:val="002576F9"/>
    <w:rsid w:val="00257970"/>
    <w:rsid w:val="0026156F"/>
    <w:rsid w:val="00262F8A"/>
    <w:rsid w:val="00263A43"/>
    <w:rsid w:val="00264B78"/>
    <w:rsid w:val="00266526"/>
    <w:rsid w:val="00266ECE"/>
    <w:rsid w:val="00266FA5"/>
    <w:rsid w:val="00267626"/>
    <w:rsid w:val="00270704"/>
    <w:rsid w:val="00271155"/>
    <w:rsid w:val="0027243C"/>
    <w:rsid w:val="00272932"/>
    <w:rsid w:val="002733BA"/>
    <w:rsid w:val="002748E9"/>
    <w:rsid w:val="0027519C"/>
    <w:rsid w:val="00275FD9"/>
    <w:rsid w:val="00276094"/>
    <w:rsid w:val="00276884"/>
    <w:rsid w:val="002774AD"/>
    <w:rsid w:val="00277F5D"/>
    <w:rsid w:val="00280330"/>
    <w:rsid w:val="00280FE5"/>
    <w:rsid w:val="00281130"/>
    <w:rsid w:val="00281CF9"/>
    <w:rsid w:val="002832DA"/>
    <w:rsid w:val="002832F5"/>
    <w:rsid w:val="00284BC0"/>
    <w:rsid w:val="00284C50"/>
    <w:rsid w:val="00285614"/>
    <w:rsid w:val="002858F0"/>
    <w:rsid w:val="00286692"/>
    <w:rsid w:val="002866CB"/>
    <w:rsid w:val="0028701B"/>
    <w:rsid w:val="002874B2"/>
    <w:rsid w:val="00287874"/>
    <w:rsid w:val="00293125"/>
    <w:rsid w:val="002935A3"/>
    <w:rsid w:val="00293B81"/>
    <w:rsid w:val="0029438A"/>
    <w:rsid w:val="002945B2"/>
    <w:rsid w:val="00294D8C"/>
    <w:rsid w:val="00296D0C"/>
    <w:rsid w:val="00296F73"/>
    <w:rsid w:val="00297A63"/>
    <w:rsid w:val="002A0088"/>
    <w:rsid w:val="002A16B9"/>
    <w:rsid w:val="002A1808"/>
    <w:rsid w:val="002A382C"/>
    <w:rsid w:val="002A3C0F"/>
    <w:rsid w:val="002A4437"/>
    <w:rsid w:val="002A4EA7"/>
    <w:rsid w:val="002A6DA5"/>
    <w:rsid w:val="002A6E1C"/>
    <w:rsid w:val="002A72FA"/>
    <w:rsid w:val="002A7D4C"/>
    <w:rsid w:val="002B0283"/>
    <w:rsid w:val="002B0A7E"/>
    <w:rsid w:val="002B0DAA"/>
    <w:rsid w:val="002B1BCE"/>
    <w:rsid w:val="002B1F1B"/>
    <w:rsid w:val="002B3BC0"/>
    <w:rsid w:val="002B4C31"/>
    <w:rsid w:val="002B5321"/>
    <w:rsid w:val="002B6967"/>
    <w:rsid w:val="002B76A9"/>
    <w:rsid w:val="002B7AED"/>
    <w:rsid w:val="002B7C77"/>
    <w:rsid w:val="002B7F23"/>
    <w:rsid w:val="002C0190"/>
    <w:rsid w:val="002C073B"/>
    <w:rsid w:val="002C09DA"/>
    <w:rsid w:val="002C17DC"/>
    <w:rsid w:val="002C2143"/>
    <w:rsid w:val="002C230B"/>
    <w:rsid w:val="002C233A"/>
    <w:rsid w:val="002C328C"/>
    <w:rsid w:val="002C3DCF"/>
    <w:rsid w:val="002C453A"/>
    <w:rsid w:val="002C4B8B"/>
    <w:rsid w:val="002C57CA"/>
    <w:rsid w:val="002C5947"/>
    <w:rsid w:val="002C650F"/>
    <w:rsid w:val="002C65FC"/>
    <w:rsid w:val="002C727C"/>
    <w:rsid w:val="002C7AA5"/>
    <w:rsid w:val="002D0292"/>
    <w:rsid w:val="002D02A7"/>
    <w:rsid w:val="002D0775"/>
    <w:rsid w:val="002D225F"/>
    <w:rsid w:val="002D2643"/>
    <w:rsid w:val="002D2C35"/>
    <w:rsid w:val="002D4981"/>
    <w:rsid w:val="002D6D0E"/>
    <w:rsid w:val="002D7241"/>
    <w:rsid w:val="002E2B0F"/>
    <w:rsid w:val="002E2EEC"/>
    <w:rsid w:val="002E39FF"/>
    <w:rsid w:val="002E3AD7"/>
    <w:rsid w:val="002E4A4D"/>
    <w:rsid w:val="002E5092"/>
    <w:rsid w:val="002E562F"/>
    <w:rsid w:val="002E601F"/>
    <w:rsid w:val="002E7070"/>
    <w:rsid w:val="002F0014"/>
    <w:rsid w:val="002F08EE"/>
    <w:rsid w:val="002F1CB9"/>
    <w:rsid w:val="002F2530"/>
    <w:rsid w:val="002F2D5C"/>
    <w:rsid w:val="002F3247"/>
    <w:rsid w:val="002F3F54"/>
    <w:rsid w:val="002F4499"/>
    <w:rsid w:val="002F77FD"/>
    <w:rsid w:val="002F795C"/>
    <w:rsid w:val="00301621"/>
    <w:rsid w:val="00301B85"/>
    <w:rsid w:val="00301E67"/>
    <w:rsid w:val="003025F8"/>
    <w:rsid w:val="00302F30"/>
    <w:rsid w:val="00303199"/>
    <w:rsid w:val="00303C6E"/>
    <w:rsid w:val="00303F5B"/>
    <w:rsid w:val="00303F6F"/>
    <w:rsid w:val="00304132"/>
    <w:rsid w:val="003050D7"/>
    <w:rsid w:val="00305F43"/>
    <w:rsid w:val="0030689B"/>
    <w:rsid w:val="00306B11"/>
    <w:rsid w:val="00307089"/>
    <w:rsid w:val="00313A57"/>
    <w:rsid w:val="00315B69"/>
    <w:rsid w:val="0031681A"/>
    <w:rsid w:val="00316A8D"/>
    <w:rsid w:val="00316AA1"/>
    <w:rsid w:val="00320537"/>
    <w:rsid w:val="0032109D"/>
    <w:rsid w:val="00322C56"/>
    <w:rsid w:val="0032325A"/>
    <w:rsid w:val="003237D8"/>
    <w:rsid w:val="0032437C"/>
    <w:rsid w:val="0032521D"/>
    <w:rsid w:val="003258E9"/>
    <w:rsid w:val="003276AE"/>
    <w:rsid w:val="00330DD0"/>
    <w:rsid w:val="00332B58"/>
    <w:rsid w:val="0033336C"/>
    <w:rsid w:val="003347EB"/>
    <w:rsid w:val="00334D04"/>
    <w:rsid w:val="00335D28"/>
    <w:rsid w:val="0033624C"/>
    <w:rsid w:val="00336B63"/>
    <w:rsid w:val="0034014F"/>
    <w:rsid w:val="0034046F"/>
    <w:rsid w:val="00340E73"/>
    <w:rsid w:val="00342C99"/>
    <w:rsid w:val="00342DB6"/>
    <w:rsid w:val="003443DC"/>
    <w:rsid w:val="00344640"/>
    <w:rsid w:val="0034530D"/>
    <w:rsid w:val="00345B8E"/>
    <w:rsid w:val="00345CB0"/>
    <w:rsid w:val="00346327"/>
    <w:rsid w:val="0035069A"/>
    <w:rsid w:val="0035085B"/>
    <w:rsid w:val="0035090B"/>
    <w:rsid w:val="00351190"/>
    <w:rsid w:val="00351721"/>
    <w:rsid w:val="00351B39"/>
    <w:rsid w:val="00351D2B"/>
    <w:rsid w:val="00351F3C"/>
    <w:rsid w:val="00352896"/>
    <w:rsid w:val="00354CBD"/>
    <w:rsid w:val="00355079"/>
    <w:rsid w:val="00355E11"/>
    <w:rsid w:val="00355FEB"/>
    <w:rsid w:val="00356158"/>
    <w:rsid w:val="00356B62"/>
    <w:rsid w:val="00357388"/>
    <w:rsid w:val="003601F8"/>
    <w:rsid w:val="00360206"/>
    <w:rsid w:val="0036116B"/>
    <w:rsid w:val="003611BF"/>
    <w:rsid w:val="00362618"/>
    <w:rsid w:val="00364149"/>
    <w:rsid w:val="00364753"/>
    <w:rsid w:val="00364B34"/>
    <w:rsid w:val="00364B42"/>
    <w:rsid w:val="00365174"/>
    <w:rsid w:val="0036583A"/>
    <w:rsid w:val="003661D9"/>
    <w:rsid w:val="0037141E"/>
    <w:rsid w:val="00371903"/>
    <w:rsid w:val="00373304"/>
    <w:rsid w:val="00373919"/>
    <w:rsid w:val="00374181"/>
    <w:rsid w:val="00374863"/>
    <w:rsid w:val="00376633"/>
    <w:rsid w:val="003768D9"/>
    <w:rsid w:val="00377046"/>
    <w:rsid w:val="00377B61"/>
    <w:rsid w:val="00377C57"/>
    <w:rsid w:val="003804CF"/>
    <w:rsid w:val="00380862"/>
    <w:rsid w:val="00381B02"/>
    <w:rsid w:val="00383117"/>
    <w:rsid w:val="0038398B"/>
    <w:rsid w:val="00383F59"/>
    <w:rsid w:val="00384AF9"/>
    <w:rsid w:val="00384B73"/>
    <w:rsid w:val="0038593B"/>
    <w:rsid w:val="003873B8"/>
    <w:rsid w:val="00387DDF"/>
    <w:rsid w:val="00391155"/>
    <w:rsid w:val="003916F4"/>
    <w:rsid w:val="00391949"/>
    <w:rsid w:val="0039221B"/>
    <w:rsid w:val="0039241B"/>
    <w:rsid w:val="003931EA"/>
    <w:rsid w:val="00393C1B"/>
    <w:rsid w:val="00394EB9"/>
    <w:rsid w:val="003965F5"/>
    <w:rsid w:val="0039665F"/>
    <w:rsid w:val="003970BD"/>
    <w:rsid w:val="00397374"/>
    <w:rsid w:val="003A00A5"/>
    <w:rsid w:val="003A298B"/>
    <w:rsid w:val="003A30D1"/>
    <w:rsid w:val="003A36D4"/>
    <w:rsid w:val="003A4039"/>
    <w:rsid w:val="003A6343"/>
    <w:rsid w:val="003A6C04"/>
    <w:rsid w:val="003B01A6"/>
    <w:rsid w:val="003B0C18"/>
    <w:rsid w:val="003B0F8C"/>
    <w:rsid w:val="003B1DA9"/>
    <w:rsid w:val="003B2DC1"/>
    <w:rsid w:val="003B3A9B"/>
    <w:rsid w:val="003B459B"/>
    <w:rsid w:val="003B5EE4"/>
    <w:rsid w:val="003B70CC"/>
    <w:rsid w:val="003C005D"/>
    <w:rsid w:val="003C2677"/>
    <w:rsid w:val="003C2E52"/>
    <w:rsid w:val="003C36F3"/>
    <w:rsid w:val="003C383C"/>
    <w:rsid w:val="003C42B2"/>
    <w:rsid w:val="003C42D0"/>
    <w:rsid w:val="003C4514"/>
    <w:rsid w:val="003C4B7B"/>
    <w:rsid w:val="003C4EDA"/>
    <w:rsid w:val="003C5F8C"/>
    <w:rsid w:val="003C7059"/>
    <w:rsid w:val="003C78AA"/>
    <w:rsid w:val="003D0D49"/>
    <w:rsid w:val="003D25FC"/>
    <w:rsid w:val="003D2960"/>
    <w:rsid w:val="003D2FDC"/>
    <w:rsid w:val="003D34FB"/>
    <w:rsid w:val="003D3824"/>
    <w:rsid w:val="003D389D"/>
    <w:rsid w:val="003D56B4"/>
    <w:rsid w:val="003D570E"/>
    <w:rsid w:val="003D5E32"/>
    <w:rsid w:val="003D63C4"/>
    <w:rsid w:val="003D653E"/>
    <w:rsid w:val="003D6B9B"/>
    <w:rsid w:val="003D6D1C"/>
    <w:rsid w:val="003E02A9"/>
    <w:rsid w:val="003E045D"/>
    <w:rsid w:val="003E0737"/>
    <w:rsid w:val="003E09DF"/>
    <w:rsid w:val="003E1A7F"/>
    <w:rsid w:val="003E21A2"/>
    <w:rsid w:val="003E22AA"/>
    <w:rsid w:val="003E30D4"/>
    <w:rsid w:val="003E341F"/>
    <w:rsid w:val="003E40A8"/>
    <w:rsid w:val="003E4BA9"/>
    <w:rsid w:val="003E4DE0"/>
    <w:rsid w:val="003E4EA3"/>
    <w:rsid w:val="003E5A05"/>
    <w:rsid w:val="003E5D40"/>
    <w:rsid w:val="003E5F8E"/>
    <w:rsid w:val="003E6552"/>
    <w:rsid w:val="003E6A14"/>
    <w:rsid w:val="003E6A8F"/>
    <w:rsid w:val="003F0824"/>
    <w:rsid w:val="003F1F03"/>
    <w:rsid w:val="003F31F4"/>
    <w:rsid w:val="003F3535"/>
    <w:rsid w:val="003F49FB"/>
    <w:rsid w:val="003F5827"/>
    <w:rsid w:val="003F667B"/>
    <w:rsid w:val="003F6F04"/>
    <w:rsid w:val="003F76D2"/>
    <w:rsid w:val="00400047"/>
    <w:rsid w:val="0040030F"/>
    <w:rsid w:val="00400B74"/>
    <w:rsid w:val="00402574"/>
    <w:rsid w:val="00402E82"/>
    <w:rsid w:val="0040305B"/>
    <w:rsid w:val="00403215"/>
    <w:rsid w:val="00403362"/>
    <w:rsid w:val="0040393F"/>
    <w:rsid w:val="004041F6"/>
    <w:rsid w:val="00404C3A"/>
    <w:rsid w:val="00404CBF"/>
    <w:rsid w:val="00404FDC"/>
    <w:rsid w:val="00405EF6"/>
    <w:rsid w:val="00406A87"/>
    <w:rsid w:val="00406B11"/>
    <w:rsid w:val="00406D94"/>
    <w:rsid w:val="0040710D"/>
    <w:rsid w:val="00411972"/>
    <w:rsid w:val="00411BCC"/>
    <w:rsid w:val="004137C7"/>
    <w:rsid w:val="00413CE2"/>
    <w:rsid w:val="004148F4"/>
    <w:rsid w:val="00415650"/>
    <w:rsid w:val="00415D9D"/>
    <w:rsid w:val="00416959"/>
    <w:rsid w:val="00416A6B"/>
    <w:rsid w:val="00416C6A"/>
    <w:rsid w:val="0042010C"/>
    <w:rsid w:val="00420FAE"/>
    <w:rsid w:val="0042226F"/>
    <w:rsid w:val="00422B87"/>
    <w:rsid w:val="00423490"/>
    <w:rsid w:val="00423CB8"/>
    <w:rsid w:val="004240E3"/>
    <w:rsid w:val="00424639"/>
    <w:rsid w:val="00424878"/>
    <w:rsid w:val="00424F25"/>
    <w:rsid w:val="00425767"/>
    <w:rsid w:val="00425AC8"/>
    <w:rsid w:val="00426991"/>
    <w:rsid w:val="00427665"/>
    <w:rsid w:val="004305C1"/>
    <w:rsid w:val="00430C4E"/>
    <w:rsid w:val="00430FB8"/>
    <w:rsid w:val="0043122A"/>
    <w:rsid w:val="00431295"/>
    <w:rsid w:val="004315EC"/>
    <w:rsid w:val="00431682"/>
    <w:rsid w:val="00431ABD"/>
    <w:rsid w:val="00431E14"/>
    <w:rsid w:val="00431E48"/>
    <w:rsid w:val="004339BA"/>
    <w:rsid w:val="004344E0"/>
    <w:rsid w:val="00436598"/>
    <w:rsid w:val="00437B23"/>
    <w:rsid w:val="0044078D"/>
    <w:rsid w:val="00440966"/>
    <w:rsid w:val="004423C0"/>
    <w:rsid w:val="004424E9"/>
    <w:rsid w:val="00442AD7"/>
    <w:rsid w:val="00443752"/>
    <w:rsid w:val="004439A2"/>
    <w:rsid w:val="004445AB"/>
    <w:rsid w:val="00445695"/>
    <w:rsid w:val="0044687F"/>
    <w:rsid w:val="00446FD9"/>
    <w:rsid w:val="00447956"/>
    <w:rsid w:val="00447AD4"/>
    <w:rsid w:val="00447DE9"/>
    <w:rsid w:val="00450124"/>
    <w:rsid w:val="0045082B"/>
    <w:rsid w:val="0045105A"/>
    <w:rsid w:val="00452623"/>
    <w:rsid w:val="00452EE1"/>
    <w:rsid w:val="004532E7"/>
    <w:rsid w:val="00454976"/>
    <w:rsid w:val="00455E47"/>
    <w:rsid w:val="00456C04"/>
    <w:rsid w:val="004603C7"/>
    <w:rsid w:val="004608C8"/>
    <w:rsid w:val="00462070"/>
    <w:rsid w:val="00463519"/>
    <w:rsid w:val="004636D4"/>
    <w:rsid w:val="004640AF"/>
    <w:rsid w:val="00464D88"/>
    <w:rsid w:val="00465C21"/>
    <w:rsid w:val="0046628C"/>
    <w:rsid w:val="00466BB8"/>
    <w:rsid w:val="00466FB3"/>
    <w:rsid w:val="0047248A"/>
    <w:rsid w:val="00474493"/>
    <w:rsid w:val="00474E62"/>
    <w:rsid w:val="004769F9"/>
    <w:rsid w:val="00476F9D"/>
    <w:rsid w:val="004779FF"/>
    <w:rsid w:val="00477D73"/>
    <w:rsid w:val="00480180"/>
    <w:rsid w:val="00480A99"/>
    <w:rsid w:val="004829E3"/>
    <w:rsid w:val="004842B3"/>
    <w:rsid w:val="004848FB"/>
    <w:rsid w:val="004855B3"/>
    <w:rsid w:val="0048604A"/>
    <w:rsid w:val="004868E3"/>
    <w:rsid w:val="00487039"/>
    <w:rsid w:val="004903CD"/>
    <w:rsid w:val="0049068E"/>
    <w:rsid w:val="00491185"/>
    <w:rsid w:val="00491634"/>
    <w:rsid w:val="0049291A"/>
    <w:rsid w:val="0049328C"/>
    <w:rsid w:val="00493395"/>
    <w:rsid w:val="0049352D"/>
    <w:rsid w:val="00493906"/>
    <w:rsid w:val="00494304"/>
    <w:rsid w:val="004945AB"/>
    <w:rsid w:val="0049494A"/>
    <w:rsid w:val="0049546A"/>
    <w:rsid w:val="00495506"/>
    <w:rsid w:val="0049581E"/>
    <w:rsid w:val="004961BF"/>
    <w:rsid w:val="004973C5"/>
    <w:rsid w:val="004974BC"/>
    <w:rsid w:val="00497C88"/>
    <w:rsid w:val="004A01E0"/>
    <w:rsid w:val="004A0767"/>
    <w:rsid w:val="004A137D"/>
    <w:rsid w:val="004A1D2C"/>
    <w:rsid w:val="004A1D50"/>
    <w:rsid w:val="004A2266"/>
    <w:rsid w:val="004A258B"/>
    <w:rsid w:val="004A336B"/>
    <w:rsid w:val="004A39B0"/>
    <w:rsid w:val="004A4EB8"/>
    <w:rsid w:val="004A50EA"/>
    <w:rsid w:val="004A67D9"/>
    <w:rsid w:val="004A7F28"/>
    <w:rsid w:val="004B0BB5"/>
    <w:rsid w:val="004B1508"/>
    <w:rsid w:val="004B1BFB"/>
    <w:rsid w:val="004B1D55"/>
    <w:rsid w:val="004B2907"/>
    <w:rsid w:val="004B326A"/>
    <w:rsid w:val="004B3DB7"/>
    <w:rsid w:val="004B5985"/>
    <w:rsid w:val="004B5BAB"/>
    <w:rsid w:val="004B7295"/>
    <w:rsid w:val="004C056A"/>
    <w:rsid w:val="004C0789"/>
    <w:rsid w:val="004C10AA"/>
    <w:rsid w:val="004C1FA6"/>
    <w:rsid w:val="004C2777"/>
    <w:rsid w:val="004C2AB7"/>
    <w:rsid w:val="004C36C5"/>
    <w:rsid w:val="004C404D"/>
    <w:rsid w:val="004C4296"/>
    <w:rsid w:val="004C5723"/>
    <w:rsid w:val="004C5B64"/>
    <w:rsid w:val="004C6C9D"/>
    <w:rsid w:val="004C7702"/>
    <w:rsid w:val="004C78D8"/>
    <w:rsid w:val="004D064B"/>
    <w:rsid w:val="004D27DB"/>
    <w:rsid w:val="004D357B"/>
    <w:rsid w:val="004D3F3E"/>
    <w:rsid w:val="004D4A68"/>
    <w:rsid w:val="004D53D7"/>
    <w:rsid w:val="004D576D"/>
    <w:rsid w:val="004D5FAE"/>
    <w:rsid w:val="004D767B"/>
    <w:rsid w:val="004D793E"/>
    <w:rsid w:val="004E12E9"/>
    <w:rsid w:val="004E1ED7"/>
    <w:rsid w:val="004E2E63"/>
    <w:rsid w:val="004E2F98"/>
    <w:rsid w:val="004E35EE"/>
    <w:rsid w:val="004E3A85"/>
    <w:rsid w:val="004E3C32"/>
    <w:rsid w:val="004E497B"/>
    <w:rsid w:val="004E4CF6"/>
    <w:rsid w:val="004E608C"/>
    <w:rsid w:val="004E6543"/>
    <w:rsid w:val="004E69F9"/>
    <w:rsid w:val="004E7611"/>
    <w:rsid w:val="004E76D3"/>
    <w:rsid w:val="004E7BF4"/>
    <w:rsid w:val="004E7C34"/>
    <w:rsid w:val="004F03CB"/>
    <w:rsid w:val="004F19CB"/>
    <w:rsid w:val="004F3286"/>
    <w:rsid w:val="004F3FF9"/>
    <w:rsid w:val="004F4623"/>
    <w:rsid w:val="004F4AD8"/>
    <w:rsid w:val="004F5EE5"/>
    <w:rsid w:val="004F5FAB"/>
    <w:rsid w:val="004F6D19"/>
    <w:rsid w:val="004F7C8E"/>
    <w:rsid w:val="0050027A"/>
    <w:rsid w:val="005008E4"/>
    <w:rsid w:val="00500FF9"/>
    <w:rsid w:val="0050135B"/>
    <w:rsid w:val="00501F84"/>
    <w:rsid w:val="0050202B"/>
    <w:rsid w:val="00503D65"/>
    <w:rsid w:val="00505A71"/>
    <w:rsid w:val="00505FE4"/>
    <w:rsid w:val="0050628D"/>
    <w:rsid w:val="00506BDD"/>
    <w:rsid w:val="005070C6"/>
    <w:rsid w:val="00510387"/>
    <w:rsid w:val="005105AB"/>
    <w:rsid w:val="005123AC"/>
    <w:rsid w:val="00512794"/>
    <w:rsid w:val="005130C7"/>
    <w:rsid w:val="005140C4"/>
    <w:rsid w:val="0051504A"/>
    <w:rsid w:val="00515749"/>
    <w:rsid w:val="00515FB3"/>
    <w:rsid w:val="00516049"/>
    <w:rsid w:val="005165AB"/>
    <w:rsid w:val="005177EB"/>
    <w:rsid w:val="00520EEA"/>
    <w:rsid w:val="00521533"/>
    <w:rsid w:val="00521CC5"/>
    <w:rsid w:val="0052214B"/>
    <w:rsid w:val="005224B1"/>
    <w:rsid w:val="005227CC"/>
    <w:rsid w:val="00523408"/>
    <w:rsid w:val="00524AD5"/>
    <w:rsid w:val="00524BFB"/>
    <w:rsid w:val="005251F5"/>
    <w:rsid w:val="005255E6"/>
    <w:rsid w:val="005265B2"/>
    <w:rsid w:val="00527795"/>
    <w:rsid w:val="005279DC"/>
    <w:rsid w:val="00532103"/>
    <w:rsid w:val="00533373"/>
    <w:rsid w:val="00533435"/>
    <w:rsid w:val="005335E8"/>
    <w:rsid w:val="00533874"/>
    <w:rsid w:val="00534379"/>
    <w:rsid w:val="0053437A"/>
    <w:rsid w:val="00535F2F"/>
    <w:rsid w:val="0053654C"/>
    <w:rsid w:val="00536A5F"/>
    <w:rsid w:val="005371BD"/>
    <w:rsid w:val="00537582"/>
    <w:rsid w:val="00540E1E"/>
    <w:rsid w:val="005414EF"/>
    <w:rsid w:val="00541F9B"/>
    <w:rsid w:val="00543422"/>
    <w:rsid w:val="00545A03"/>
    <w:rsid w:val="00546237"/>
    <w:rsid w:val="005462BE"/>
    <w:rsid w:val="0054657F"/>
    <w:rsid w:val="00550060"/>
    <w:rsid w:val="00550828"/>
    <w:rsid w:val="00550978"/>
    <w:rsid w:val="005509F1"/>
    <w:rsid w:val="005535AE"/>
    <w:rsid w:val="0055462B"/>
    <w:rsid w:val="00554694"/>
    <w:rsid w:val="00554921"/>
    <w:rsid w:val="00555123"/>
    <w:rsid w:val="005561E5"/>
    <w:rsid w:val="00557644"/>
    <w:rsid w:val="00557C25"/>
    <w:rsid w:val="00560281"/>
    <w:rsid w:val="00561292"/>
    <w:rsid w:val="005619FE"/>
    <w:rsid w:val="00562185"/>
    <w:rsid w:val="00562350"/>
    <w:rsid w:val="00563D36"/>
    <w:rsid w:val="0056460C"/>
    <w:rsid w:val="0056506F"/>
    <w:rsid w:val="00565131"/>
    <w:rsid w:val="00565981"/>
    <w:rsid w:val="00565C8F"/>
    <w:rsid w:val="00565FF3"/>
    <w:rsid w:val="00565FF7"/>
    <w:rsid w:val="0056643A"/>
    <w:rsid w:val="00566ADF"/>
    <w:rsid w:val="0056740B"/>
    <w:rsid w:val="00567713"/>
    <w:rsid w:val="005677AB"/>
    <w:rsid w:val="00570DF5"/>
    <w:rsid w:val="00576EB1"/>
    <w:rsid w:val="00576EE8"/>
    <w:rsid w:val="00577FDE"/>
    <w:rsid w:val="00580E32"/>
    <w:rsid w:val="0058105C"/>
    <w:rsid w:val="005811B4"/>
    <w:rsid w:val="00581314"/>
    <w:rsid w:val="00581C3F"/>
    <w:rsid w:val="0058325B"/>
    <w:rsid w:val="005834D6"/>
    <w:rsid w:val="00584676"/>
    <w:rsid w:val="005848BD"/>
    <w:rsid w:val="0058560E"/>
    <w:rsid w:val="00585874"/>
    <w:rsid w:val="005869C8"/>
    <w:rsid w:val="00590283"/>
    <w:rsid w:val="00590ACE"/>
    <w:rsid w:val="00590CBD"/>
    <w:rsid w:val="00591337"/>
    <w:rsid w:val="005916CD"/>
    <w:rsid w:val="00591C8E"/>
    <w:rsid w:val="00593500"/>
    <w:rsid w:val="00593DCC"/>
    <w:rsid w:val="005959E3"/>
    <w:rsid w:val="00595B1D"/>
    <w:rsid w:val="0059612F"/>
    <w:rsid w:val="005962ED"/>
    <w:rsid w:val="005963F9"/>
    <w:rsid w:val="00596E37"/>
    <w:rsid w:val="0059775B"/>
    <w:rsid w:val="00597A6C"/>
    <w:rsid w:val="00597EF7"/>
    <w:rsid w:val="005A25B6"/>
    <w:rsid w:val="005A25FE"/>
    <w:rsid w:val="005A2DC2"/>
    <w:rsid w:val="005A6265"/>
    <w:rsid w:val="005A689E"/>
    <w:rsid w:val="005A6998"/>
    <w:rsid w:val="005A729D"/>
    <w:rsid w:val="005A764F"/>
    <w:rsid w:val="005A7A56"/>
    <w:rsid w:val="005B03F0"/>
    <w:rsid w:val="005B1059"/>
    <w:rsid w:val="005B106A"/>
    <w:rsid w:val="005B3238"/>
    <w:rsid w:val="005B34F2"/>
    <w:rsid w:val="005B44BA"/>
    <w:rsid w:val="005B4EEF"/>
    <w:rsid w:val="005B4FB5"/>
    <w:rsid w:val="005B531D"/>
    <w:rsid w:val="005B57E3"/>
    <w:rsid w:val="005B5C7A"/>
    <w:rsid w:val="005C057C"/>
    <w:rsid w:val="005C1537"/>
    <w:rsid w:val="005C3A0E"/>
    <w:rsid w:val="005C49DA"/>
    <w:rsid w:val="005C54B1"/>
    <w:rsid w:val="005C5CB3"/>
    <w:rsid w:val="005D0B3E"/>
    <w:rsid w:val="005D11CC"/>
    <w:rsid w:val="005D14FC"/>
    <w:rsid w:val="005D3500"/>
    <w:rsid w:val="005D3723"/>
    <w:rsid w:val="005D385E"/>
    <w:rsid w:val="005D396B"/>
    <w:rsid w:val="005D4A10"/>
    <w:rsid w:val="005D536A"/>
    <w:rsid w:val="005D5C9C"/>
    <w:rsid w:val="005D5D4C"/>
    <w:rsid w:val="005D6710"/>
    <w:rsid w:val="005D6C1A"/>
    <w:rsid w:val="005D6CB3"/>
    <w:rsid w:val="005D6CC3"/>
    <w:rsid w:val="005D6D0F"/>
    <w:rsid w:val="005D78D7"/>
    <w:rsid w:val="005D7F96"/>
    <w:rsid w:val="005E20BF"/>
    <w:rsid w:val="005E282C"/>
    <w:rsid w:val="005E2E1E"/>
    <w:rsid w:val="005E36E1"/>
    <w:rsid w:val="005E3FEA"/>
    <w:rsid w:val="005E42C3"/>
    <w:rsid w:val="005E47EA"/>
    <w:rsid w:val="005E4FBC"/>
    <w:rsid w:val="005E5F05"/>
    <w:rsid w:val="005E6843"/>
    <w:rsid w:val="005E6C5B"/>
    <w:rsid w:val="005F0494"/>
    <w:rsid w:val="005F2405"/>
    <w:rsid w:val="005F2633"/>
    <w:rsid w:val="005F363B"/>
    <w:rsid w:val="005F5389"/>
    <w:rsid w:val="005F54D1"/>
    <w:rsid w:val="005F5BAE"/>
    <w:rsid w:val="005F6437"/>
    <w:rsid w:val="005F6DA6"/>
    <w:rsid w:val="005F7B19"/>
    <w:rsid w:val="005F7BD7"/>
    <w:rsid w:val="0060079E"/>
    <w:rsid w:val="00601204"/>
    <w:rsid w:val="006026C5"/>
    <w:rsid w:val="00602711"/>
    <w:rsid w:val="0060285B"/>
    <w:rsid w:val="00602C53"/>
    <w:rsid w:val="00602CDD"/>
    <w:rsid w:val="00603B03"/>
    <w:rsid w:val="00604497"/>
    <w:rsid w:val="0060498F"/>
    <w:rsid w:val="00604B41"/>
    <w:rsid w:val="006052A7"/>
    <w:rsid w:val="00606556"/>
    <w:rsid w:val="00607AF2"/>
    <w:rsid w:val="00607C80"/>
    <w:rsid w:val="006101E9"/>
    <w:rsid w:val="0061058E"/>
    <w:rsid w:val="0061228D"/>
    <w:rsid w:val="00613306"/>
    <w:rsid w:val="00614342"/>
    <w:rsid w:val="0061443C"/>
    <w:rsid w:val="00614A05"/>
    <w:rsid w:val="00616006"/>
    <w:rsid w:val="0061614F"/>
    <w:rsid w:val="006169A2"/>
    <w:rsid w:val="00617920"/>
    <w:rsid w:val="00617BD6"/>
    <w:rsid w:val="0062001A"/>
    <w:rsid w:val="00620C29"/>
    <w:rsid w:val="00621408"/>
    <w:rsid w:val="0062144A"/>
    <w:rsid w:val="00621A9D"/>
    <w:rsid w:val="00621B0E"/>
    <w:rsid w:val="00622D29"/>
    <w:rsid w:val="00623110"/>
    <w:rsid w:val="00623827"/>
    <w:rsid w:val="00623D8A"/>
    <w:rsid w:val="0062444A"/>
    <w:rsid w:val="00624740"/>
    <w:rsid w:val="006247E0"/>
    <w:rsid w:val="00624B30"/>
    <w:rsid w:val="0062519C"/>
    <w:rsid w:val="006257D3"/>
    <w:rsid w:val="00625E33"/>
    <w:rsid w:val="00625FC3"/>
    <w:rsid w:val="006264E6"/>
    <w:rsid w:val="00627D30"/>
    <w:rsid w:val="00627E96"/>
    <w:rsid w:val="006300B1"/>
    <w:rsid w:val="006300FF"/>
    <w:rsid w:val="00633930"/>
    <w:rsid w:val="0063400F"/>
    <w:rsid w:val="0063484D"/>
    <w:rsid w:val="00634892"/>
    <w:rsid w:val="0063525E"/>
    <w:rsid w:val="006353B5"/>
    <w:rsid w:val="00635D2C"/>
    <w:rsid w:val="006366D2"/>
    <w:rsid w:val="00637B73"/>
    <w:rsid w:val="00637BD0"/>
    <w:rsid w:val="0064005D"/>
    <w:rsid w:val="006403B9"/>
    <w:rsid w:val="00640C1F"/>
    <w:rsid w:val="0064130E"/>
    <w:rsid w:val="006415FE"/>
    <w:rsid w:val="00642B6E"/>
    <w:rsid w:val="00643647"/>
    <w:rsid w:val="00643CEA"/>
    <w:rsid w:val="00643D5E"/>
    <w:rsid w:val="00644C13"/>
    <w:rsid w:val="00645129"/>
    <w:rsid w:val="00645842"/>
    <w:rsid w:val="00646152"/>
    <w:rsid w:val="00646636"/>
    <w:rsid w:val="006466F4"/>
    <w:rsid w:val="006502A7"/>
    <w:rsid w:val="006510D2"/>
    <w:rsid w:val="00651536"/>
    <w:rsid w:val="00652049"/>
    <w:rsid w:val="006526D1"/>
    <w:rsid w:val="006534F6"/>
    <w:rsid w:val="006547CA"/>
    <w:rsid w:val="0065574D"/>
    <w:rsid w:val="00655B7F"/>
    <w:rsid w:val="006560D2"/>
    <w:rsid w:val="0065630D"/>
    <w:rsid w:val="006563B1"/>
    <w:rsid w:val="0065719F"/>
    <w:rsid w:val="006602E7"/>
    <w:rsid w:val="00660455"/>
    <w:rsid w:val="006610FF"/>
    <w:rsid w:val="0066291D"/>
    <w:rsid w:val="00663E83"/>
    <w:rsid w:val="00664056"/>
    <w:rsid w:val="0066501E"/>
    <w:rsid w:val="00667BE8"/>
    <w:rsid w:val="006707EC"/>
    <w:rsid w:val="006711F3"/>
    <w:rsid w:val="00672ADB"/>
    <w:rsid w:val="00672C8D"/>
    <w:rsid w:val="00672E06"/>
    <w:rsid w:val="006732BB"/>
    <w:rsid w:val="00673A60"/>
    <w:rsid w:val="00674F4C"/>
    <w:rsid w:val="00675BCB"/>
    <w:rsid w:val="00675D07"/>
    <w:rsid w:val="00675D71"/>
    <w:rsid w:val="00676C28"/>
    <w:rsid w:val="00677411"/>
    <w:rsid w:val="006777B4"/>
    <w:rsid w:val="0067785B"/>
    <w:rsid w:val="00680151"/>
    <w:rsid w:val="006814D5"/>
    <w:rsid w:val="006815E6"/>
    <w:rsid w:val="006819C2"/>
    <w:rsid w:val="006822E2"/>
    <w:rsid w:val="0068242B"/>
    <w:rsid w:val="00682B66"/>
    <w:rsid w:val="006830BF"/>
    <w:rsid w:val="00683B4C"/>
    <w:rsid w:val="00684886"/>
    <w:rsid w:val="006855EF"/>
    <w:rsid w:val="00687AF0"/>
    <w:rsid w:val="00687FEA"/>
    <w:rsid w:val="00692512"/>
    <w:rsid w:val="00693362"/>
    <w:rsid w:val="006950DE"/>
    <w:rsid w:val="00695A14"/>
    <w:rsid w:val="00695D6B"/>
    <w:rsid w:val="006963D0"/>
    <w:rsid w:val="00696F91"/>
    <w:rsid w:val="0069740C"/>
    <w:rsid w:val="006A2EF7"/>
    <w:rsid w:val="006A3EC4"/>
    <w:rsid w:val="006A52C2"/>
    <w:rsid w:val="006A5387"/>
    <w:rsid w:val="006A5936"/>
    <w:rsid w:val="006A5E8E"/>
    <w:rsid w:val="006A664A"/>
    <w:rsid w:val="006A78D1"/>
    <w:rsid w:val="006A7AFC"/>
    <w:rsid w:val="006B0346"/>
    <w:rsid w:val="006B088B"/>
    <w:rsid w:val="006B09CE"/>
    <w:rsid w:val="006B1020"/>
    <w:rsid w:val="006B170E"/>
    <w:rsid w:val="006B1866"/>
    <w:rsid w:val="006B2506"/>
    <w:rsid w:val="006B2A43"/>
    <w:rsid w:val="006B2EFD"/>
    <w:rsid w:val="006B30CC"/>
    <w:rsid w:val="006B3B7D"/>
    <w:rsid w:val="006B4502"/>
    <w:rsid w:val="006B4B5E"/>
    <w:rsid w:val="006B4C97"/>
    <w:rsid w:val="006B69BC"/>
    <w:rsid w:val="006B6E31"/>
    <w:rsid w:val="006B6EC2"/>
    <w:rsid w:val="006B743F"/>
    <w:rsid w:val="006B7441"/>
    <w:rsid w:val="006B764A"/>
    <w:rsid w:val="006C0008"/>
    <w:rsid w:val="006C025A"/>
    <w:rsid w:val="006C0895"/>
    <w:rsid w:val="006C0B83"/>
    <w:rsid w:val="006C1E9F"/>
    <w:rsid w:val="006C1F96"/>
    <w:rsid w:val="006D243D"/>
    <w:rsid w:val="006D2509"/>
    <w:rsid w:val="006D3AF2"/>
    <w:rsid w:val="006D51A7"/>
    <w:rsid w:val="006D5242"/>
    <w:rsid w:val="006D5C7A"/>
    <w:rsid w:val="006D621D"/>
    <w:rsid w:val="006D66C2"/>
    <w:rsid w:val="006D6EB5"/>
    <w:rsid w:val="006D7EB2"/>
    <w:rsid w:val="006E14F5"/>
    <w:rsid w:val="006E1C3A"/>
    <w:rsid w:val="006E2DB0"/>
    <w:rsid w:val="006E37BE"/>
    <w:rsid w:val="006E3E3B"/>
    <w:rsid w:val="006E414F"/>
    <w:rsid w:val="006E5302"/>
    <w:rsid w:val="006E5771"/>
    <w:rsid w:val="006E705E"/>
    <w:rsid w:val="006E7A45"/>
    <w:rsid w:val="006F00A1"/>
    <w:rsid w:val="006F01A9"/>
    <w:rsid w:val="006F0B38"/>
    <w:rsid w:val="006F2AD4"/>
    <w:rsid w:val="006F3EEA"/>
    <w:rsid w:val="006F4104"/>
    <w:rsid w:val="006F43D5"/>
    <w:rsid w:val="006F4533"/>
    <w:rsid w:val="006F4D85"/>
    <w:rsid w:val="006F5338"/>
    <w:rsid w:val="006F573E"/>
    <w:rsid w:val="006F5BF9"/>
    <w:rsid w:val="006F5F2E"/>
    <w:rsid w:val="006F5FEC"/>
    <w:rsid w:val="006F67F5"/>
    <w:rsid w:val="006F6C63"/>
    <w:rsid w:val="006F7106"/>
    <w:rsid w:val="006F712A"/>
    <w:rsid w:val="00700275"/>
    <w:rsid w:val="00700DE0"/>
    <w:rsid w:val="00700F07"/>
    <w:rsid w:val="007015AF"/>
    <w:rsid w:val="00701AC8"/>
    <w:rsid w:val="00702130"/>
    <w:rsid w:val="00702341"/>
    <w:rsid w:val="0070316F"/>
    <w:rsid w:val="00703CF9"/>
    <w:rsid w:val="0070647D"/>
    <w:rsid w:val="007072B3"/>
    <w:rsid w:val="00707AC7"/>
    <w:rsid w:val="00710389"/>
    <w:rsid w:val="007108E6"/>
    <w:rsid w:val="00710EE3"/>
    <w:rsid w:val="007119BE"/>
    <w:rsid w:val="00711DE0"/>
    <w:rsid w:val="00712440"/>
    <w:rsid w:val="007125AA"/>
    <w:rsid w:val="00712C17"/>
    <w:rsid w:val="00713215"/>
    <w:rsid w:val="00713C77"/>
    <w:rsid w:val="00714986"/>
    <w:rsid w:val="00715CBA"/>
    <w:rsid w:val="00715F96"/>
    <w:rsid w:val="00716B64"/>
    <w:rsid w:val="007209C2"/>
    <w:rsid w:val="00721CE0"/>
    <w:rsid w:val="0072353B"/>
    <w:rsid w:val="007235E7"/>
    <w:rsid w:val="0072431B"/>
    <w:rsid w:val="007276ED"/>
    <w:rsid w:val="00727DE4"/>
    <w:rsid w:val="00730879"/>
    <w:rsid w:val="007314D7"/>
    <w:rsid w:val="007315AF"/>
    <w:rsid w:val="00731680"/>
    <w:rsid w:val="007324B9"/>
    <w:rsid w:val="007326D9"/>
    <w:rsid w:val="00733928"/>
    <w:rsid w:val="00734B27"/>
    <w:rsid w:val="00735287"/>
    <w:rsid w:val="0073670B"/>
    <w:rsid w:val="00736776"/>
    <w:rsid w:val="00737A54"/>
    <w:rsid w:val="00737CDE"/>
    <w:rsid w:val="0074023A"/>
    <w:rsid w:val="00740891"/>
    <w:rsid w:val="00740E17"/>
    <w:rsid w:val="00741033"/>
    <w:rsid w:val="0074188E"/>
    <w:rsid w:val="00741AD7"/>
    <w:rsid w:val="007423A5"/>
    <w:rsid w:val="0074519C"/>
    <w:rsid w:val="00745AA7"/>
    <w:rsid w:val="0074645A"/>
    <w:rsid w:val="00746463"/>
    <w:rsid w:val="00746901"/>
    <w:rsid w:val="0074761D"/>
    <w:rsid w:val="00747D02"/>
    <w:rsid w:val="007503B1"/>
    <w:rsid w:val="0075062B"/>
    <w:rsid w:val="0075203C"/>
    <w:rsid w:val="00753D2A"/>
    <w:rsid w:val="00753EE8"/>
    <w:rsid w:val="00754F1C"/>
    <w:rsid w:val="0075689E"/>
    <w:rsid w:val="00756D03"/>
    <w:rsid w:val="00757096"/>
    <w:rsid w:val="0075742F"/>
    <w:rsid w:val="00761794"/>
    <w:rsid w:val="00762EDC"/>
    <w:rsid w:val="00763E32"/>
    <w:rsid w:val="00764409"/>
    <w:rsid w:val="007649EA"/>
    <w:rsid w:val="00765CFD"/>
    <w:rsid w:val="00765FBC"/>
    <w:rsid w:val="00766145"/>
    <w:rsid w:val="007674D8"/>
    <w:rsid w:val="007702F2"/>
    <w:rsid w:val="007709CB"/>
    <w:rsid w:val="00770B55"/>
    <w:rsid w:val="00771270"/>
    <w:rsid w:val="00772662"/>
    <w:rsid w:val="00773213"/>
    <w:rsid w:val="007734A3"/>
    <w:rsid w:val="007739C8"/>
    <w:rsid w:val="00773DDF"/>
    <w:rsid w:val="00773EA1"/>
    <w:rsid w:val="0077430D"/>
    <w:rsid w:val="00774547"/>
    <w:rsid w:val="00774656"/>
    <w:rsid w:val="00774C19"/>
    <w:rsid w:val="00774E79"/>
    <w:rsid w:val="0077513B"/>
    <w:rsid w:val="00776907"/>
    <w:rsid w:val="00776CB1"/>
    <w:rsid w:val="0077768F"/>
    <w:rsid w:val="00777A8E"/>
    <w:rsid w:val="007800C5"/>
    <w:rsid w:val="00780352"/>
    <w:rsid w:val="00781B2C"/>
    <w:rsid w:val="00783A35"/>
    <w:rsid w:val="00784BCD"/>
    <w:rsid w:val="00785646"/>
    <w:rsid w:val="00785689"/>
    <w:rsid w:val="00785ACA"/>
    <w:rsid w:val="00785EED"/>
    <w:rsid w:val="0078663B"/>
    <w:rsid w:val="007876B3"/>
    <w:rsid w:val="00787973"/>
    <w:rsid w:val="00787BF3"/>
    <w:rsid w:val="00790D07"/>
    <w:rsid w:val="00791B3A"/>
    <w:rsid w:val="00792480"/>
    <w:rsid w:val="00792736"/>
    <w:rsid w:val="007929AF"/>
    <w:rsid w:val="00794569"/>
    <w:rsid w:val="00796CFF"/>
    <w:rsid w:val="0079704C"/>
    <w:rsid w:val="0079763F"/>
    <w:rsid w:val="00797CEC"/>
    <w:rsid w:val="007A0A57"/>
    <w:rsid w:val="007A16D6"/>
    <w:rsid w:val="007A23C6"/>
    <w:rsid w:val="007A2B07"/>
    <w:rsid w:val="007A2F9A"/>
    <w:rsid w:val="007A33C9"/>
    <w:rsid w:val="007A3A55"/>
    <w:rsid w:val="007A4A0A"/>
    <w:rsid w:val="007A50D7"/>
    <w:rsid w:val="007A5D89"/>
    <w:rsid w:val="007A670E"/>
    <w:rsid w:val="007A6B30"/>
    <w:rsid w:val="007A7D3C"/>
    <w:rsid w:val="007B030B"/>
    <w:rsid w:val="007B08EC"/>
    <w:rsid w:val="007B0D0A"/>
    <w:rsid w:val="007B1228"/>
    <w:rsid w:val="007B151A"/>
    <w:rsid w:val="007B1E67"/>
    <w:rsid w:val="007B4699"/>
    <w:rsid w:val="007B480F"/>
    <w:rsid w:val="007B5ED1"/>
    <w:rsid w:val="007B67E5"/>
    <w:rsid w:val="007B6CAF"/>
    <w:rsid w:val="007B6EDD"/>
    <w:rsid w:val="007C0903"/>
    <w:rsid w:val="007C0D9A"/>
    <w:rsid w:val="007C0DFC"/>
    <w:rsid w:val="007C2017"/>
    <w:rsid w:val="007C299D"/>
    <w:rsid w:val="007C412C"/>
    <w:rsid w:val="007C51DA"/>
    <w:rsid w:val="007C53B2"/>
    <w:rsid w:val="007C6DBD"/>
    <w:rsid w:val="007C70D3"/>
    <w:rsid w:val="007C73BE"/>
    <w:rsid w:val="007C7B0F"/>
    <w:rsid w:val="007C7F3F"/>
    <w:rsid w:val="007D0236"/>
    <w:rsid w:val="007D0B44"/>
    <w:rsid w:val="007D174D"/>
    <w:rsid w:val="007D1752"/>
    <w:rsid w:val="007D19DF"/>
    <w:rsid w:val="007D2477"/>
    <w:rsid w:val="007D2F9C"/>
    <w:rsid w:val="007D46ED"/>
    <w:rsid w:val="007D4DDB"/>
    <w:rsid w:val="007D50D2"/>
    <w:rsid w:val="007D5107"/>
    <w:rsid w:val="007D53F1"/>
    <w:rsid w:val="007D57A8"/>
    <w:rsid w:val="007D719A"/>
    <w:rsid w:val="007D728B"/>
    <w:rsid w:val="007E05F1"/>
    <w:rsid w:val="007E0CC9"/>
    <w:rsid w:val="007E0F42"/>
    <w:rsid w:val="007E2F06"/>
    <w:rsid w:val="007E2F77"/>
    <w:rsid w:val="007E3B0E"/>
    <w:rsid w:val="007E3DBD"/>
    <w:rsid w:val="007E4236"/>
    <w:rsid w:val="007E4B66"/>
    <w:rsid w:val="007E50D4"/>
    <w:rsid w:val="007E513F"/>
    <w:rsid w:val="007E55A5"/>
    <w:rsid w:val="007E56BC"/>
    <w:rsid w:val="007E5D5D"/>
    <w:rsid w:val="007E5E70"/>
    <w:rsid w:val="007E5FF5"/>
    <w:rsid w:val="007E74C8"/>
    <w:rsid w:val="007E7D7B"/>
    <w:rsid w:val="007F1516"/>
    <w:rsid w:val="007F177E"/>
    <w:rsid w:val="007F25D7"/>
    <w:rsid w:val="007F358C"/>
    <w:rsid w:val="007F404F"/>
    <w:rsid w:val="007F6168"/>
    <w:rsid w:val="007F6C07"/>
    <w:rsid w:val="0080035E"/>
    <w:rsid w:val="00801052"/>
    <w:rsid w:val="008017C1"/>
    <w:rsid w:val="00801FFE"/>
    <w:rsid w:val="008028A4"/>
    <w:rsid w:val="008031E8"/>
    <w:rsid w:val="00803554"/>
    <w:rsid w:val="008037F8"/>
    <w:rsid w:val="00803AD7"/>
    <w:rsid w:val="00803D70"/>
    <w:rsid w:val="00804481"/>
    <w:rsid w:val="0080470B"/>
    <w:rsid w:val="008056C2"/>
    <w:rsid w:val="008067FE"/>
    <w:rsid w:val="00810203"/>
    <w:rsid w:val="0081031A"/>
    <w:rsid w:val="00810D1C"/>
    <w:rsid w:val="00811AE7"/>
    <w:rsid w:val="008128EC"/>
    <w:rsid w:val="00813423"/>
    <w:rsid w:val="00813DF7"/>
    <w:rsid w:val="008147E7"/>
    <w:rsid w:val="00815E7F"/>
    <w:rsid w:val="008162E5"/>
    <w:rsid w:val="00817698"/>
    <w:rsid w:val="0081771A"/>
    <w:rsid w:val="008178B5"/>
    <w:rsid w:val="00817A77"/>
    <w:rsid w:val="00820764"/>
    <w:rsid w:val="00820AC0"/>
    <w:rsid w:val="0082194C"/>
    <w:rsid w:val="0082263B"/>
    <w:rsid w:val="00822CA0"/>
    <w:rsid w:val="008235D7"/>
    <w:rsid w:val="00824EE7"/>
    <w:rsid w:val="00825909"/>
    <w:rsid w:val="00826422"/>
    <w:rsid w:val="0082678A"/>
    <w:rsid w:val="008301B3"/>
    <w:rsid w:val="00830547"/>
    <w:rsid w:val="008306EF"/>
    <w:rsid w:val="00830860"/>
    <w:rsid w:val="00830FB9"/>
    <w:rsid w:val="008313CC"/>
    <w:rsid w:val="00831817"/>
    <w:rsid w:val="00832BFE"/>
    <w:rsid w:val="00833A98"/>
    <w:rsid w:val="00833D06"/>
    <w:rsid w:val="00834CE5"/>
    <w:rsid w:val="00835342"/>
    <w:rsid w:val="0083566F"/>
    <w:rsid w:val="00835ABB"/>
    <w:rsid w:val="0083623A"/>
    <w:rsid w:val="00836C4B"/>
    <w:rsid w:val="008375EC"/>
    <w:rsid w:val="008409D8"/>
    <w:rsid w:val="00840E51"/>
    <w:rsid w:val="008413A9"/>
    <w:rsid w:val="008446FE"/>
    <w:rsid w:val="00844E31"/>
    <w:rsid w:val="0084767B"/>
    <w:rsid w:val="00850A8A"/>
    <w:rsid w:val="008512AC"/>
    <w:rsid w:val="0085131E"/>
    <w:rsid w:val="00851440"/>
    <w:rsid w:val="0085161C"/>
    <w:rsid w:val="00852430"/>
    <w:rsid w:val="0085364C"/>
    <w:rsid w:val="00853BA2"/>
    <w:rsid w:val="00853C0B"/>
    <w:rsid w:val="008549EB"/>
    <w:rsid w:val="00854B14"/>
    <w:rsid w:val="00855082"/>
    <w:rsid w:val="008550E7"/>
    <w:rsid w:val="00855235"/>
    <w:rsid w:val="00855531"/>
    <w:rsid w:val="00855EB5"/>
    <w:rsid w:val="008602AD"/>
    <w:rsid w:val="00860963"/>
    <w:rsid w:val="008623C3"/>
    <w:rsid w:val="0086372E"/>
    <w:rsid w:val="008642EA"/>
    <w:rsid w:val="008649DF"/>
    <w:rsid w:val="00864C5D"/>
    <w:rsid w:val="00865B8A"/>
    <w:rsid w:val="008662B7"/>
    <w:rsid w:val="00866636"/>
    <w:rsid w:val="008669A4"/>
    <w:rsid w:val="00866ACD"/>
    <w:rsid w:val="008672CB"/>
    <w:rsid w:val="00870A79"/>
    <w:rsid w:val="00872033"/>
    <w:rsid w:val="00872D07"/>
    <w:rsid w:val="00873DD9"/>
    <w:rsid w:val="00874404"/>
    <w:rsid w:val="008750D2"/>
    <w:rsid w:val="008752B4"/>
    <w:rsid w:val="00875B4E"/>
    <w:rsid w:val="00875D16"/>
    <w:rsid w:val="008764A2"/>
    <w:rsid w:val="00876C6E"/>
    <w:rsid w:val="008802C9"/>
    <w:rsid w:val="008806E2"/>
    <w:rsid w:val="00881048"/>
    <w:rsid w:val="00881B1F"/>
    <w:rsid w:val="00881B73"/>
    <w:rsid w:val="00881CF7"/>
    <w:rsid w:val="00882844"/>
    <w:rsid w:val="008831D8"/>
    <w:rsid w:val="00883B83"/>
    <w:rsid w:val="0088506E"/>
    <w:rsid w:val="00885387"/>
    <w:rsid w:val="0088594A"/>
    <w:rsid w:val="00886F1A"/>
    <w:rsid w:val="00887027"/>
    <w:rsid w:val="00887B45"/>
    <w:rsid w:val="00890106"/>
    <w:rsid w:val="00891C7F"/>
    <w:rsid w:val="008921D6"/>
    <w:rsid w:val="008921DA"/>
    <w:rsid w:val="00893DC6"/>
    <w:rsid w:val="00893F37"/>
    <w:rsid w:val="00896B1F"/>
    <w:rsid w:val="00896B63"/>
    <w:rsid w:val="00896D5B"/>
    <w:rsid w:val="008973ED"/>
    <w:rsid w:val="008975B4"/>
    <w:rsid w:val="008A049E"/>
    <w:rsid w:val="008A07A9"/>
    <w:rsid w:val="008A167F"/>
    <w:rsid w:val="008A18F5"/>
    <w:rsid w:val="008A25C3"/>
    <w:rsid w:val="008A373A"/>
    <w:rsid w:val="008A64E1"/>
    <w:rsid w:val="008A687D"/>
    <w:rsid w:val="008A6E00"/>
    <w:rsid w:val="008A7137"/>
    <w:rsid w:val="008A7E32"/>
    <w:rsid w:val="008A7EA3"/>
    <w:rsid w:val="008B04B2"/>
    <w:rsid w:val="008B0C24"/>
    <w:rsid w:val="008B1229"/>
    <w:rsid w:val="008B234D"/>
    <w:rsid w:val="008B3096"/>
    <w:rsid w:val="008B462E"/>
    <w:rsid w:val="008B72BC"/>
    <w:rsid w:val="008B754B"/>
    <w:rsid w:val="008C1202"/>
    <w:rsid w:val="008C1404"/>
    <w:rsid w:val="008C2610"/>
    <w:rsid w:val="008C3679"/>
    <w:rsid w:val="008C3F70"/>
    <w:rsid w:val="008C5136"/>
    <w:rsid w:val="008C781F"/>
    <w:rsid w:val="008C78E9"/>
    <w:rsid w:val="008D0A1D"/>
    <w:rsid w:val="008D15A5"/>
    <w:rsid w:val="008D204B"/>
    <w:rsid w:val="008D2070"/>
    <w:rsid w:val="008D22B8"/>
    <w:rsid w:val="008D2310"/>
    <w:rsid w:val="008D282E"/>
    <w:rsid w:val="008D368A"/>
    <w:rsid w:val="008D36CC"/>
    <w:rsid w:val="008D38AB"/>
    <w:rsid w:val="008D426D"/>
    <w:rsid w:val="008D63C1"/>
    <w:rsid w:val="008D6616"/>
    <w:rsid w:val="008D6689"/>
    <w:rsid w:val="008D6B04"/>
    <w:rsid w:val="008D7286"/>
    <w:rsid w:val="008D72D4"/>
    <w:rsid w:val="008D7596"/>
    <w:rsid w:val="008E179A"/>
    <w:rsid w:val="008E1F49"/>
    <w:rsid w:val="008E2529"/>
    <w:rsid w:val="008E3B04"/>
    <w:rsid w:val="008E4C6E"/>
    <w:rsid w:val="008E55DF"/>
    <w:rsid w:val="008E5865"/>
    <w:rsid w:val="008E5BFE"/>
    <w:rsid w:val="008E5C66"/>
    <w:rsid w:val="008E6385"/>
    <w:rsid w:val="008E66D7"/>
    <w:rsid w:val="008E6838"/>
    <w:rsid w:val="008E6A99"/>
    <w:rsid w:val="008E7704"/>
    <w:rsid w:val="008E7BA3"/>
    <w:rsid w:val="008F01A3"/>
    <w:rsid w:val="008F021A"/>
    <w:rsid w:val="008F07E6"/>
    <w:rsid w:val="008F0A6E"/>
    <w:rsid w:val="008F274E"/>
    <w:rsid w:val="008F434A"/>
    <w:rsid w:val="008F45B5"/>
    <w:rsid w:val="008F521E"/>
    <w:rsid w:val="008F5A92"/>
    <w:rsid w:val="008F5C7D"/>
    <w:rsid w:val="008F76A5"/>
    <w:rsid w:val="008F7F4A"/>
    <w:rsid w:val="009017CD"/>
    <w:rsid w:val="009020C9"/>
    <w:rsid w:val="00902176"/>
    <w:rsid w:val="00902A99"/>
    <w:rsid w:val="00903275"/>
    <w:rsid w:val="00905279"/>
    <w:rsid w:val="00905DB2"/>
    <w:rsid w:val="00906389"/>
    <w:rsid w:val="00906BF7"/>
    <w:rsid w:val="0090735D"/>
    <w:rsid w:val="009074CB"/>
    <w:rsid w:val="00910AAA"/>
    <w:rsid w:val="00911C40"/>
    <w:rsid w:val="0091254A"/>
    <w:rsid w:val="0091318D"/>
    <w:rsid w:val="0091376E"/>
    <w:rsid w:val="00913A10"/>
    <w:rsid w:val="009157F9"/>
    <w:rsid w:val="00915DB6"/>
    <w:rsid w:val="00917C80"/>
    <w:rsid w:val="0092077B"/>
    <w:rsid w:val="00920893"/>
    <w:rsid w:val="00921920"/>
    <w:rsid w:val="00923BCE"/>
    <w:rsid w:val="0092413C"/>
    <w:rsid w:val="00924575"/>
    <w:rsid w:val="00924A50"/>
    <w:rsid w:val="00924BE3"/>
    <w:rsid w:val="009255B1"/>
    <w:rsid w:val="009267CB"/>
    <w:rsid w:val="00926F53"/>
    <w:rsid w:val="00927B7D"/>
    <w:rsid w:val="00931BA9"/>
    <w:rsid w:val="00932A0E"/>
    <w:rsid w:val="0093389D"/>
    <w:rsid w:val="00933D19"/>
    <w:rsid w:val="00934D11"/>
    <w:rsid w:val="009358AB"/>
    <w:rsid w:val="00935B4D"/>
    <w:rsid w:val="00936A65"/>
    <w:rsid w:val="00936B50"/>
    <w:rsid w:val="0093735C"/>
    <w:rsid w:val="009373DC"/>
    <w:rsid w:val="0094088A"/>
    <w:rsid w:val="00944DEB"/>
    <w:rsid w:val="00945027"/>
    <w:rsid w:val="00946D07"/>
    <w:rsid w:val="00946FC8"/>
    <w:rsid w:val="00947C9E"/>
    <w:rsid w:val="009500B3"/>
    <w:rsid w:val="009501D1"/>
    <w:rsid w:val="00950949"/>
    <w:rsid w:val="00950AAA"/>
    <w:rsid w:val="00950FB8"/>
    <w:rsid w:val="009532D3"/>
    <w:rsid w:val="00955ABE"/>
    <w:rsid w:val="00955E1D"/>
    <w:rsid w:val="0095720D"/>
    <w:rsid w:val="00957D4D"/>
    <w:rsid w:val="009604B7"/>
    <w:rsid w:val="00961E4D"/>
    <w:rsid w:val="00963E1F"/>
    <w:rsid w:val="0096483B"/>
    <w:rsid w:val="00965D68"/>
    <w:rsid w:val="009665EF"/>
    <w:rsid w:val="0096798B"/>
    <w:rsid w:val="00970136"/>
    <w:rsid w:val="00971644"/>
    <w:rsid w:val="00971842"/>
    <w:rsid w:val="00973C5B"/>
    <w:rsid w:val="0097585A"/>
    <w:rsid w:val="00975C6E"/>
    <w:rsid w:val="009760B3"/>
    <w:rsid w:val="00976540"/>
    <w:rsid w:val="009772FF"/>
    <w:rsid w:val="009775A3"/>
    <w:rsid w:val="00977955"/>
    <w:rsid w:val="009779C8"/>
    <w:rsid w:val="00980835"/>
    <w:rsid w:val="00981FFB"/>
    <w:rsid w:val="009822EF"/>
    <w:rsid w:val="009825A6"/>
    <w:rsid w:val="0098376F"/>
    <w:rsid w:val="00984308"/>
    <w:rsid w:val="009843C6"/>
    <w:rsid w:val="00984434"/>
    <w:rsid w:val="00986C9C"/>
    <w:rsid w:val="0098790A"/>
    <w:rsid w:val="00990B76"/>
    <w:rsid w:val="009920CA"/>
    <w:rsid w:val="00992515"/>
    <w:rsid w:val="00993A65"/>
    <w:rsid w:val="00993DA7"/>
    <w:rsid w:val="00994002"/>
    <w:rsid w:val="0099471E"/>
    <w:rsid w:val="00994928"/>
    <w:rsid w:val="00994CA9"/>
    <w:rsid w:val="00996A78"/>
    <w:rsid w:val="00996DDF"/>
    <w:rsid w:val="00997795"/>
    <w:rsid w:val="00997BA8"/>
    <w:rsid w:val="009A04BB"/>
    <w:rsid w:val="009A1C35"/>
    <w:rsid w:val="009A3082"/>
    <w:rsid w:val="009A3C25"/>
    <w:rsid w:val="009A3C47"/>
    <w:rsid w:val="009A51FB"/>
    <w:rsid w:val="009A53DF"/>
    <w:rsid w:val="009A5552"/>
    <w:rsid w:val="009A5FAB"/>
    <w:rsid w:val="009A6071"/>
    <w:rsid w:val="009A62C1"/>
    <w:rsid w:val="009A6E37"/>
    <w:rsid w:val="009A7515"/>
    <w:rsid w:val="009A7AFD"/>
    <w:rsid w:val="009A7CC2"/>
    <w:rsid w:val="009A7FF9"/>
    <w:rsid w:val="009B0669"/>
    <w:rsid w:val="009B1E94"/>
    <w:rsid w:val="009B2D08"/>
    <w:rsid w:val="009B351D"/>
    <w:rsid w:val="009B41AC"/>
    <w:rsid w:val="009B4976"/>
    <w:rsid w:val="009B59C2"/>
    <w:rsid w:val="009B64FC"/>
    <w:rsid w:val="009B650D"/>
    <w:rsid w:val="009B7B0A"/>
    <w:rsid w:val="009C044E"/>
    <w:rsid w:val="009C0824"/>
    <w:rsid w:val="009C0F96"/>
    <w:rsid w:val="009C114B"/>
    <w:rsid w:val="009C14C1"/>
    <w:rsid w:val="009C1D21"/>
    <w:rsid w:val="009C2FDF"/>
    <w:rsid w:val="009C52AE"/>
    <w:rsid w:val="009C5C70"/>
    <w:rsid w:val="009C6B05"/>
    <w:rsid w:val="009D05A8"/>
    <w:rsid w:val="009D1C0C"/>
    <w:rsid w:val="009D24A0"/>
    <w:rsid w:val="009D2B03"/>
    <w:rsid w:val="009D2B8C"/>
    <w:rsid w:val="009D2EB9"/>
    <w:rsid w:val="009D3532"/>
    <w:rsid w:val="009D4141"/>
    <w:rsid w:val="009D477F"/>
    <w:rsid w:val="009D4D2A"/>
    <w:rsid w:val="009D53A1"/>
    <w:rsid w:val="009D57A0"/>
    <w:rsid w:val="009D7702"/>
    <w:rsid w:val="009E0354"/>
    <w:rsid w:val="009E099B"/>
    <w:rsid w:val="009E13AF"/>
    <w:rsid w:val="009E4A68"/>
    <w:rsid w:val="009E4FF8"/>
    <w:rsid w:val="009E5190"/>
    <w:rsid w:val="009E5271"/>
    <w:rsid w:val="009E54CE"/>
    <w:rsid w:val="009E5B9B"/>
    <w:rsid w:val="009E5FA6"/>
    <w:rsid w:val="009E672E"/>
    <w:rsid w:val="009F0005"/>
    <w:rsid w:val="009F0A21"/>
    <w:rsid w:val="009F1840"/>
    <w:rsid w:val="009F1D43"/>
    <w:rsid w:val="009F1D82"/>
    <w:rsid w:val="009F389D"/>
    <w:rsid w:val="009F3913"/>
    <w:rsid w:val="009F3C78"/>
    <w:rsid w:val="009F3CE1"/>
    <w:rsid w:val="009F6E1E"/>
    <w:rsid w:val="009F7503"/>
    <w:rsid w:val="00A00F05"/>
    <w:rsid w:val="00A053EE"/>
    <w:rsid w:val="00A05D14"/>
    <w:rsid w:val="00A05F2B"/>
    <w:rsid w:val="00A06AC9"/>
    <w:rsid w:val="00A06B90"/>
    <w:rsid w:val="00A06E3F"/>
    <w:rsid w:val="00A0731E"/>
    <w:rsid w:val="00A078A1"/>
    <w:rsid w:val="00A07D86"/>
    <w:rsid w:val="00A102B5"/>
    <w:rsid w:val="00A117A3"/>
    <w:rsid w:val="00A11EBD"/>
    <w:rsid w:val="00A121EE"/>
    <w:rsid w:val="00A13A96"/>
    <w:rsid w:val="00A15355"/>
    <w:rsid w:val="00A20059"/>
    <w:rsid w:val="00A2051B"/>
    <w:rsid w:val="00A20C49"/>
    <w:rsid w:val="00A20F7B"/>
    <w:rsid w:val="00A22728"/>
    <w:rsid w:val="00A2285D"/>
    <w:rsid w:val="00A231C2"/>
    <w:rsid w:val="00A2483B"/>
    <w:rsid w:val="00A24EAE"/>
    <w:rsid w:val="00A253BA"/>
    <w:rsid w:val="00A26852"/>
    <w:rsid w:val="00A26CF4"/>
    <w:rsid w:val="00A26DF6"/>
    <w:rsid w:val="00A270CF"/>
    <w:rsid w:val="00A2763C"/>
    <w:rsid w:val="00A27BD0"/>
    <w:rsid w:val="00A27CC9"/>
    <w:rsid w:val="00A30EED"/>
    <w:rsid w:val="00A3284B"/>
    <w:rsid w:val="00A32B34"/>
    <w:rsid w:val="00A34E01"/>
    <w:rsid w:val="00A3515E"/>
    <w:rsid w:val="00A35512"/>
    <w:rsid w:val="00A356A7"/>
    <w:rsid w:val="00A35F10"/>
    <w:rsid w:val="00A35FEB"/>
    <w:rsid w:val="00A36AB5"/>
    <w:rsid w:val="00A40100"/>
    <w:rsid w:val="00A4053B"/>
    <w:rsid w:val="00A418A1"/>
    <w:rsid w:val="00A419C7"/>
    <w:rsid w:val="00A4204E"/>
    <w:rsid w:val="00A43B5C"/>
    <w:rsid w:val="00A448E9"/>
    <w:rsid w:val="00A45685"/>
    <w:rsid w:val="00A45E25"/>
    <w:rsid w:val="00A46BC2"/>
    <w:rsid w:val="00A472D0"/>
    <w:rsid w:val="00A475FB"/>
    <w:rsid w:val="00A5198F"/>
    <w:rsid w:val="00A5245A"/>
    <w:rsid w:val="00A52F0F"/>
    <w:rsid w:val="00A5323D"/>
    <w:rsid w:val="00A5339C"/>
    <w:rsid w:val="00A54228"/>
    <w:rsid w:val="00A55852"/>
    <w:rsid w:val="00A56EBD"/>
    <w:rsid w:val="00A56FE0"/>
    <w:rsid w:val="00A5721B"/>
    <w:rsid w:val="00A601B5"/>
    <w:rsid w:val="00A60B1B"/>
    <w:rsid w:val="00A61154"/>
    <w:rsid w:val="00A6169A"/>
    <w:rsid w:val="00A624FC"/>
    <w:rsid w:val="00A63B16"/>
    <w:rsid w:val="00A6438F"/>
    <w:rsid w:val="00A64809"/>
    <w:rsid w:val="00A65116"/>
    <w:rsid w:val="00A65491"/>
    <w:rsid w:val="00A65498"/>
    <w:rsid w:val="00A65669"/>
    <w:rsid w:val="00A660F5"/>
    <w:rsid w:val="00A663E0"/>
    <w:rsid w:val="00A66CCC"/>
    <w:rsid w:val="00A677A4"/>
    <w:rsid w:val="00A67865"/>
    <w:rsid w:val="00A67ACC"/>
    <w:rsid w:val="00A67B63"/>
    <w:rsid w:val="00A70C69"/>
    <w:rsid w:val="00A7431A"/>
    <w:rsid w:val="00A75E67"/>
    <w:rsid w:val="00A7646E"/>
    <w:rsid w:val="00A76EDF"/>
    <w:rsid w:val="00A77D4B"/>
    <w:rsid w:val="00A830FE"/>
    <w:rsid w:val="00A83410"/>
    <w:rsid w:val="00A83EB5"/>
    <w:rsid w:val="00A855F2"/>
    <w:rsid w:val="00A87166"/>
    <w:rsid w:val="00A87715"/>
    <w:rsid w:val="00A87D53"/>
    <w:rsid w:val="00A91499"/>
    <w:rsid w:val="00A917BD"/>
    <w:rsid w:val="00A92494"/>
    <w:rsid w:val="00A93B50"/>
    <w:rsid w:val="00A96BD3"/>
    <w:rsid w:val="00A970E8"/>
    <w:rsid w:val="00AA061E"/>
    <w:rsid w:val="00AA0CFD"/>
    <w:rsid w:val="00AA0EF0"/>
    <w:rsid w:val="00AA115A"/>
    <w:rsid w:val="00AA1888"/>
    <w:rsid w:val="00AA1AD4"/>
    <w:rsid w:val="00AA2224"/>
    <w:rsid w:val="00AA2F58"/>
    <w:rsid w:val="00AA30F7"/>
    <w:rsid w:val="00AA320B"/>
    <w:rsid w:val="00AA464B"/>
    <w:rsid w:val="00AA4E16"/>
    <w:rsid w:val="00AA4FB2"/>
    <w:rsid w:val="00AA5143"/>
    <w:rsid w:val="00AA577D"/>
    <w:rsid w:val="00AA604B"/>
    <w:rsid w:val="00AA7C12"/>
    <w:rsid w:val="00AA7C71"/>
    <w:rsid w:val="00AB07A3"/>
    <w:rsid w:val="00AB2066"/>
    <w:rsid w:val="00AB2DEE"/>
    <w:rsid w:val="00AB4CC3"/>
    <w:rsid w:val="00AB558E"/>
    <w:rsid w:val="00AB6479"/>
    <w:rsid w:val="00AB65A0"/>
    <w:rsid w:val="00AB7D46"/>
    <w:rsid w:val="00AC016D"/>
    <w:rsid w:val="00AC0177"/>
    <w:rsid w:val="00AC12E6"/>
    <w:rsid w:val="00AC1BF6"/>
    <w:rsid w:val="00AC34E0"/>
    <w:rsid w:val="00AC7AB4"/>
    <w:rsid w:val="00AD0D0B"/>
    <w:rsid w:val="00AD1CA6"/>
    <w:rsid w:val="00AD1F62"/>
    <w:rsid w:val="00AD325A"/>
    <w:rsid w:val="00AD3874"/>
    <w:rsid w:val="00AD39C2"/>
    <w:rsid w:val="00AD4261"/>
    <w:rsid w:val="00AD4CC9"/>
    <w:rsid w:val="00AD501E"/>
    <w:rsid w:val="00AD610D"/>
    <w:rsid w:val="00AD66F2"/>
    <w:rsid w:val="00AD6910"/>
    <w:rsid w:val="00AD7A65"/>
    <w:rsid w:val="00AD7BA6"/>
    <w:rsid w:val="00AE05F9"/>
    <w:rsid w:val="00AE0BA9"/>
    <w:rsid w:val="00AE1A6D"/>
    <w:rsid w:val="00AE1CE7"/>
    <w:rsid w:val="00AE2C3A"/>
    <w:rsid w:val="00AE37F1"/>
    <w:rsid w:val="00AE3E92"/>
    <w:rsid w:val="00AE3EA1"/>
    <w:rsid w:val="00AE45D5"/>
    <w:rsid w:val="00AE462B"/>
    <w:rsid w:val="00AE517B"/>
    <w:rsid w:val="00AE5498"/>
    <w:rsid w:val="00AE55EF"/>
    <w:rsid w:val="00AE64A4"/>
    <w:rsid w:val="00AE65D3"/>
    <w:rsid w:val="00AE65EB"/>
    <w:rsid w:val="00AE6CC6"/>
    <w:rsid w:val="00AE6D9E"/>
    <w:rsid w:val="00AE7DC5"/>
    <w:rsid w:val="00AF0869"/>
    <w:rsid w:val="00AF0D93"/>
    <w:rsid w:val="00AF1066"/>
    <w:rsid w:val="00AF22BC"/>
    <w:rsid w:val="00AF2669"/>
    <w:rsid w:val="00AF43CB"/>
    <w:rsid w:val="00AF4934"/>
    <w:rsid w:val="00AF6091"/>
    <w:rsid w:val="00AF6134"/>
    <w:rsid w:val="00AF681D"/>
    <w:rsid w:val="00AF6C75"/>
    <w:rsid w:val="00AF6FB2"/>
    <w:rsid w:val="00AF72F4"/>
    <w:rsid w:val="00AF741B"/>
    <w:rsid w:val="00B01566"/>
    <w:rsid w:val="00B04CE9"/>
    <w:rsid w:val="00B055D2"/>
    <w:rsid w:val="00B05EB4"/>
    <w:rsid w:val="00B060B6"/>
    <w:rsid w:val="00B062EB"/>
    <w:rsid w:val="00B07EB4"/>
    <w:rsid w:val="00B108E4"/>
    <w:rsid w:val="00B119B1"/>
    <w:rsid w:val="00B12028"/>
    <w:rsid w:val="00B122F5"/>
    <w:rsid w:val="00B1284E"/>
    <w:rsid w:val="00B12AC8"/>
    <w:rsid w:val="00B13588"/>
    <w:rsid w:val="00B1372A"/>
    <w:rsid w:val="00B13833"/>
    <w:rsid w:val="00B14255"/>
    <w:rsid w:val="00B14C94"/>
    <w:rsid w:val="00B1524E"/>
    <w:rsid w:val="00B160A6"/>
    <w:rsid w:val="00B17CA9"/>
    <w:rsid w:val="00B2003E"/>
    <w:rsid w:val="00B20392"/>
    <w:rsid w:val="00B21991"/>
    <w:rsid w:val="00B21FA3"/>
    <w:rsid w:val="00B2329C"/>
    <w:rsid w:val="00B2334F"/>
    <w:rsid w:val="00B237BB"/>
    <w:rsid w:val="00B239BD"/>
    <w:rsid w:val="00B25802"/>
    <w:rsid w:val="00B25864"/>
    <w:rsid w:val="00B26614"/>
    <w:rsid w:val="00B273E9"/>
    <w:rsid w:val="00B27EDF"/>
    <w:rsid w:val="00B30057"/>
    <w:rsid w:val="00B31A83"/>
    <w:rsid w:val="00B31D02"/>
    <w:rsid w:val="00B32086"/>
    <w:rsid w:val="00B3385B"/>
    <w:rsid w:val="00B34129"/>
    <w:rsid w:val="00B37709"/>
    <w:rsid w:val="00B37A86"/>
    <w:rsid w:val="00B40F09"/>
    <w:rsid w:val="00B42108"/>
    <w:rsid w:val="00B421D3"/>
    <w:rsid w:val="00B42AD2"/>
    <w:rsid w:val="00B44093"/>
    <w:rsid w:val="00B44316"/>
    <w:rsid w:val="00B45CC5"/>
    <w:rsid w:val="00B46764"/>
    <w:rsid w:val="00B4764D"/>
    <w:rsid w:val="00B47F1E"/>
    <w:rsid w:val="00B50419"/>
    <w:rsid w:val="00B50BF8"/>
    <w:rsid w:val="00B50E3C"/>
    <w:rsid w:val="00B513CC"/>
    <w:rsid w:val="00B52010"/>
    <w:rsid w:val="00B5334B"/>
    <w:rsid w:val="00B55D47"/>
    <w:rsid w:val="00B57B86"/>
    <w:rsid w:val="00B57EF9"/>
    <w:rsid w:val="00B600EF"/>
    <w:rsid w:val="00B6014A"/>
    <w:rsid w:val="00B6076B"/>
    <w:rsid w:val="00B61CB2"/>
    <w:rsid w:val="00B61CEA"/>
    <w:rsid w:val="00B6295D"/>
    <w:rsid w:val="00B634A8"/>
    <w:rsid w:val="00B63AB0"/>
    <w:rsid w:val="00B63C58"/>
    <w:rsid w:val="00B63DE2"/>
    <w:rsid w:val="00B64B06"/>
    <w:rsid w:val="00B65F54"/>
    <w:rsid w:val="00B66F2B"/>
    <w:rsid w:val="00B6745D"/>
    <w:rsid w:val="00B7061D"/>
    <w:rsid w:val="00B71B93"/>
    <w:rsid w:val="00B72809"/>
    <w:rsid w:val="00B730DF"/>
    <w:rsid w:val="00B73496"/>
    <w:rsid w:val="00B73EC9"/>
    <w:rsid w:val="00B75626"/>
    <w:rsid w:val="00B768EB"/>
    <w:rsid w:val="00B76EBE"/>
    <w:rsid w:val="00B80BCA"/>
    <w:rsid w:val="00B82172"/>
    <w:rsid w:val="00B8235F"/>
    <w:rsid w:val="00B82699"/>
    <w:rsid w:val="00B8270A"/>
    <w:rsid w:val="00B8318E"/>
    <w:rsid w:val="00B839F8"/>
    <w:rsid w:val="00B83D18"/>
    <w:rsid w:val="00B84F7E"/>
    <w:rsid w:val="00B85058"/>
    <w:rsid w:val="00B8524F"/>
    <w:rsid w:val="00B878B0"/>
    <w:rsid w:val="00B8798E"/>
    <w:rsid w:val="00B91429"/>
    <w:rsid w:val="00B922BF"/>
    <w:rsid w:val="00B925A3"/>
    <w:rsid w:val="00B92689"/>
    <w:rsid w:val="00B929D9"/>
    <w:rsid w:val="00B9308B"/>
    <w:rsid w:val="00B93674"/>
    <w:rsid w:val="00B93714"/>
    <w:rsid w:val="00B942F1"/>
    <w:rsid w:val="00B94EC8"/>
    <w:rsid w:val="00B95035"/>
    <w:rsid w:val="00B95946"/>
    <w:rsid w:val="00B96162"/>
    <w:rsid w:val="00B96671"/>
    <w:rsid w:val="00B9742D"/>
    <w:rsid w:val="00B97A44"/>
    <w:rsid w:val="00B97BCC"/>
    <w:rsid w:val="00BA13DD"/>
    <w:rsid w:val="00BA28BD"/>
    <w:rsid w:val="00BA4929"/>
    <w:rsid w:val="00BA51BB"/>
    <w:rsid w:val="00BA5EC4"/>
    <w:rsid w:val="00BA5F43"/>
    <w:rsid w:val="00BA6059"/>
    <w:rsid w:val="00BA688F"/>
    <w:rsid w:val="00BA6B3A"/>
    <w:rsid w:val="00BA6BC3"/>
    <w:rsid w:val="00BA7935"/>
    <w:rsid w:val="00BB1334"/>
    <w:rsid w:val="00BB15E9"/>
    <w:rsid w:val="00BB27EB"/>
    <w:rsid w:val="00BB2E81"/>
    <w:rsid w:val="00BB3205"/>
    <w:rsid w:val="00BB412C"/>
    <w:rsid w:val="00BB4209"/>
    <w:rsid w:val="00BB4254"/>
    <w:rsid w:val="00BB5578"/>
    <w:rsid w:val="00BB7672"/>
    <w:rsid w:val="00BB7BC7"/>
    <w:rsid w:val="00BC0B92"/>
    <w:rsid w:val="00BC1710"/>
    <w:rsid w:val="00BC1D43"/>
    <w:rsid w:val="00BC1F4E"/>
    <w:rsid w:val="00BC2D81"/>
    <w:rsid w:val="00BC3898"/>
    <w:rsid w:val="00BC3F05"/>
    <w:rsid w:val="00BC429C"/>
    <w:rsid w:val="00BC5739"/>
    <w:rsid w:val="00BC6C26"/>
    <w:rsid w:val="00BC6D2F"/>
    <w:rsid w:val="00BC72E7"/>
    <w:rsid w:val="00BD02F6"/>
    <w:rsid w:val="00BD111C"/>
    <w:rsid w:val="00BD1A10"/>
    <w:rsid w:val="00BD299C"/>
    <w:rsid w:val="00BD4A5E"/>
    <w:rsid w:val="00BD4CAC"/>
    <w:rsid w:val="00BD5073"/>
    <w:rsid w:val="00BD51F8"/>
    <w:rsid w:val="00BD5491"/>
    <w:rsid w:val="00BD5C79"/>
    <w:rsid w:val="00BD6C93"/>
    <w:rsid w:val="00BE0B06"/>
    <w:rsid w:val="00BE20DB"/>
    <w:rsid w:val="00BE22B9"/>
    <w:rsid w:val="00BE2361"/>
    <w:rsid w:val="00BE2EC9"/>
    <w:rsid w:val="00BE365D"/>
    <w:rsid w:val="00BE67F8"/>
    <w:rsid w:val="00BE698C"/>
    <w:rsid w:val="00BE69F4"/>
    <w:rsid w:val="00BF062C"/>
    <w:rsid w:val="00BF06AB"/>
    <w:rsid w:val="00BF0AC8"/>
    <w:rsid w:val="00BF1C86"/>
    <w:rsid w:val="00BF23CE"/>
    <w:rsid w:val="00BF2425"/>
    <w:rsid w:val="00BF2F65"/>
    <w:rsid w:val="00BF30A1"/>
    <w:rsid w:val="00BF3791"/>
    <w:rsid w:val="00BF4462"/>
    <w:rsid w:val="00BF4D64"/>
    <w:rsid w:val="00BF6091"/>
    <w:rsid w:val="00BF6209"/>
    <w:rsid w:val="00BF6333"/>
    <w:rsid w:val="00BF657A"/>
    <w:rsid w:val="00BF7121"/>
    <w:rsid w:val="00C017A2"/>
    <w:rsid w:val="00C02BF1"/>
    <w:rsid w:val="00C032EE"/>
    <w:rsid w:val="00C045D1"/>
    <w:rsid w:val="00C048E2"/>
    <w:rsid w:val="00C04C09"/>
    <w:rsid w:val="00C070A9"/>
    <w:rsid w:val="00C0773E"/>
    <w:rsid w:val="00C10C00"/>
    <w:rsid w:val="00C10F9E"/>
    <w:rsid w:val="00C12211"/>
    <w:rsid w:val="00C137BB"/>
    <w:rsid w:val="00C14C3C"/>
    <w:rsid w:val="00C1549D"/>
    <w:rsid w:val="00C154FC"/>
    <w:rsid w:val="00C15865"/>
    <w:rsid w:val="00C15BCE"/>
    <w:rsid w:val="00C15C18"/>
    <w:rsid w:val="00C1687B"/>
    <w:rsid w:val="00C16B77"/>
    <w:rsid w:val="00C1764B"/>
    <w:rsid w:val="00C20730"/>
    <w:rsid w:val="00C20D74"/>
    <w:rsid w:val="00C22222"/>
    <w:rsid w:val="00C22E8C"/>
    <w:rsid w:val="00C234DD"/>
    <w:rsid w:val="00C23887"/>
    <w:rsid w:val="00C238DA"/>
    <w:rsid w:val="00C2400B"/>
    <w:rsid w:val="00C24037"/>
    <w:rsid w:val="00C24300"/>
    <w:rsid w:val="00C24B9B"/>
    <w:rsid w:val="00C256A0"/>
    <w:rsid w:val="00C25DF1"/>
    <w:rsid w:val="00C26119"/>
    <w:rsid w:val="00C266E4"/>
    <w:rsid w:val="00C267C4"/>
    <w:rsid w:val="00C27989"/>
    <w:rsid w:val="00C301B6"/>
    <w:rsid w:val="00C3037D"/>
    <w:rsid w:val="00C3123C"/>
    <w:rsid w:val="00C3130B"/>
    <w:rsid w:val="00C3139A"/>
    <w:rsid w:val="00C31F0D"/>
    <w:rsid w:val="00C32020"/>
    <w:rsid w:val="00C33752"/>
    <w:rsid w:val="00C35635"/>
    <w:rsid w:val="00C36406"/>
    <w:rsid w:val="00C369FA"/>
    <w:rsid w:val="00C36A75"/>
    <w:rsid w:val="00C36A88"/>
    <w:rsid w:val="00C36D15"/>
    <w:rsid w:val="00C36F00"/>
    <w:rsid w:val="00C3705C"/>
    <w:rsid w:val="00C37A0D"/>
    <w:rsid w:val="00C40382"/>
    <w:rsid w:val="00C40E6C"/>
    <w:rsid w:val="00C4139C"/>
    <w:rsid w:val="00C42B75"/>
    <w:rsid w:val="00C4390F"/>
    <w:rsid w:val="00C43BDF"/>
    <w:rsid w:val="00C4436A"/>
    <w:rsid w:val="00C45572"/>
    <w:rsid w:val="00C460B2"/>
    <w:rsid w:val="00C46D61"/>
    <w:rsid w:val="00C477C7"/>
    <w:rsid w:val="00C47C2E"/>
    <w:rsid w:val="00C5049A"/>
    <w:rsid w:val="00C51E13"/>
    <w:rsid w:val="00C52397"/>
    <w:rsid w:val="00C5249B"/>
    <w:rsid w:val="00C5322B"/>
    <w:rsid w:val="00C533B6"/>
    <w:rsid w:val="00C53B57"/>
    <w:rsid w:val="00C54DAD"/>
    <w:rsid w:val="00C55EF9"/>
    <w:rsid w:val="00C55F60"/>
    <w:rsid w:val="00C56113"/>
    <w:rsid w:val="00C5753D"/>
    <w:rsid w:val="00C57A03"/>
    <w:rsid w:val="00C57E23"/>
    <w:rsid w:val="00C60209"/>
    <w:rsid w:val="00C603F4"/>
    <w:rsid w:val="00C60D15"/>
    <w:rsid w:val="00C6160F"/>
    <w:rsid w:val="00C623A7"/>
    <w:rsid w:val="00C63CE4"/>
    <w:rsid w:val="00C676B8"/>
    <w:rsid w:val="00C70260"/>
    <w:rsid w:val="00C702A0"/>
    <w:rsid w:val="00C7043A"/>
    <w:rsid w:val="00C71E9D"/>
    <w:rsid w:val="00C72704"/>
    <w:rsid w:val="00C72839"/>
    <w:rsid w:val="00C73134"/>
    <w:rsid w:val="00C73FFA"/>
    <w:rsid w:val="00C747E7"/>
    <w:rsid w:val="00C74BEB"/>
    <w:rsid w:val="00C74C5C"/>
    <w:rsid w:val="00C7506F"/>
    <w:rsid w:val="00C76645"/>
    <w:rsid w:val="00C76951"/>
    <w:rsid w:val="00C769B0"/>
    <w:rsid w:val="00C76BAE"/>
    <w:rsid w:val="00C77284"/>
    <w:rsid w:val="00C77827"/>
    <w:rsid w:val="00C77EC6"/>
    <w:rsid w:val="00C80049"/>
    <w:rsid w:val="00C80434"/>
    <w:rsid w:val="00C81258"/>
    <w:rsid w:val="00C816A3"/>
    <w:rsid w:val="00C8265A"/>
    <w:rsid w:val="00C83225"/>
    <w:rsid w:val="00C8425E"/>
    <w:rsid w:val="00C85627"/>
    <w:rsid w:val="00C8571E"/>
    <w:rsid w:val="00C858D8"/>
    <w:rsid w:val="00C85A66"/>
    <w:rsid w:val="00C86871"/>
    <w:rsid w:val="00C868DC"/>
    <w:rsid w:val="00C86A18"/>
    <w:rsid w:val="00C912D3"/>
    <w:rsid w:val="00C913C4"/>
    <w:rsid w:val="00C91568"/>
    <w:rsid w:val="00C916FA"/>
    <w:rsid w:val="00C943F4"/>
    <w:rsid w:val="00C9656A"/>
    <w:rsid w:val="00C977D9"/>
    <w:rsid w:val="00C97B6B"/>
    <w:rsid w:val="00CA0A67"/>
    <w:rsid w:val="00CA0E87"/>
    <w:rsid w:val="00CA16EB"/>
    <w:rsid w:val="00CA187C"/>
    <w:rsid w:val="00CA2615"/>
    <w:rsid w:val="00CA2ADF"/>
    <w:rsid w:val="00CA3834"/>
    <w:rsid w:val="00CA3930"/>
    <w:rsid w:val="00CA4D5C"/>
    <w:rsid w:val="00CA4DA8"/>
    <w:rsid w:val="00CA510C"/>
    <w:rsid w:val="00CA5112"/>
    <w:rsid w:val="00CA6245"/>
    <w:rsid w:val="00CA6C91"/>
    <w:rsid w:val="00CB054A"/>
    <w:rsid w:val="00CB0AA5"/>
    <w:rsid w:val="00CB0D5D"/>
    <w:rsid w:val="00CB0DD6"/>
    <w:rsid w:val="00CB13F1"/>
    <w:rsid w:val="00CB152C"/>
    <w:rsid w:val="00CB1F53"/>
    <w:rsid w:val="00CB21D8"/>
    <w:rsid w:val="00CB2893"/>
    <w:rsid w:val="00CB2F41"/>
    <w:rsid w:val="00CB35F0"/>
    <w:rsid w:val="00CB3E80"/>
    <w:rsid w:val="00CB4196"/>
    <w:rsid w:val="00CB4333"/>
    <w:rsid w:val="00CB4A7B"/>
    <w:rsid w:val="00CB56CD"/>
    <w:rsid w:val="00CB576F"/>
    <w:rsid w:val="00CB6D02"/>
    <w:rsid w:val="00CB6EA9"/>
    <w:rsid w:val="00CB7169"/>
    <w:rsid w:val="00CB761A"/>
    <w:rsid w:val="00CB7F64"/>
    <w:rsid w:val="00CC0A56"/>
    <w:rsid w:val="00CC272B"/>
    <w:rsid w:val="00CC41E0"/>
    <w:rsid w:val="00CC4F22"/>
    <w:rsid w:val="00CC52F6"/>
    <w:rsid w:val="00CC6816"/>
    <w:rsid w:val="00CC7C04"/>
    <w:rsid w:val="00CC7DE1"/>
    <w:rsid w:val="00CD021F"/>
    <w:rsid w:val="00CD292C"/>
    <w:rsid w:val="00CD2E73"/>
    <w:rsid w:val="00CD317E"/>
    <w:rsid w:val="00CD31EB"/>
    <w:rsid w:val="00CD380C"/>
    <w:rsid w:val="00CD3DA8"/>
    <w:rsid w:val="00CD6320"/>
    <w:rsid w:val="00CD7083"/>
    <w:rsid w:val="00CD733F"/>
    <w:rsid w:val="00CE05E3"/>
    <w:rsid w:val="00CE08BF"/>
    <w:rsid w:val="00CE17B9"/>
    <w:rsid w:val="00CE18E9"/>
    <w:rsid w:val="00CE2758"/>
    <w:rsid w:val="00CE2D99"/>
    <w:rsid w:val="00CE3B1F"/>
    <w:rsid w:val="00CE53EA"/>
    <w:rsid w:val="00CE585B"/>
    <w:rsid w:val="00CE7FC7"/>
    <w:rsid w:val="00CF005D"/>
    <w:rsid w:val="00CF07E9"/>
    <w:rsid w:val="00CF2DB7"/>
    <w:rsid w:val="00CF3CE6"/>
    <w:rsid w:val="00CF3D7F"/>
    <w:rsid w:val="00CF4133"/>
    <w:rsid w:val="00CF433B"/>
    <w:rsid w:val="00CF47EF"/>
    <w:rsid w:val="00CF4D56"/>
    <w:rsid w:val="00CF5870"/>
    <w:rsid w:val="00CF59A5"/>
    <w:rsid w:val="00CF5A5F"/>
    <w:rsid w:val="00CF5DEF"/>
    <w:rsid w:val="00CF6811"/>
    <w:rsid w:val="00CF68D8"/>
    <w:rsid w:val="00CF6FEA"/>
    <w:rsid w:val="00D012BD"/>
    <w:rsid w:val="00D013D5"/>
    <w:rsid w:val="00D01947"/>
    <w:rsid w:val="00D020CA"/>
    <w:rsid w:val="00D02B36"/>
    <w:rsid w:val="00D03987"/>
    <w:rsid w:val="00D03EE9"/>
    <w:rsid w:val="00D0538D"/>
    <w:rsid w:val="00D05E23"/>
    <w:rsid w:val="00D05E58"/>
    <w:rsid w:val="00D06AE9"/>
    <w:rsid w:val="00D07445"/>
    <w:rsid w:val="00D112A5"/>
    <w:rsid w:val="00D114F9"/>
    <w:rsid w:val="00D117FF"/>
    <w:rsid w:val="00D11D29"/>
    <w:rsid w:val="00D1271C"/>
    <w:rsid w:val="00D12D63"/>
    <w:rsid w:val="00D133E8"/>
    <w:rsid w:val="00D133EF"/>
    <w:rsid w:val="00D13517"/>
    <w:rsid w:val="00D13F64"/>
    <w:rsid w:val="00D14133"/>
    <w:rsid w:val="00D14323"/>
    <w:rsid w:val="00D14F97"/>
    <w:rsid w:val="00D154CA"/>
    <w:rsid w:val="00D1568B"/>
    <w:rsid w:val="00D1636A"/>
    <w:rsid w:val="00D16662"/>
    <w:rsid w:val="00D200BD"/>
    <w:rsid w:val="00D20AA6"/>
    <w:rsid w:val="00D21713"/>
    <w:rsid w:val="00D2328E"/>
    <w:rsid w:val="00D23D95"/>
    <w:rsid w:val="00D24F2B"/>
    <w:rsid w:val="00D257A6"/>
    <w:rsid w:val="00D26113"/>
    <w:rsid w:val="00D265BB"/>
    <w:rsid w:val="00D26F29"/>
    <w:rsid w:val="00D26FAE"/>
    <w:rsid w:val="00D27E0C"/>
    <w:rsid w:val="00D3072E"/>
    <w:rsid w:val="00D315DC"/>
    <w:rsid w:val="00D31CAC"/>
    <w:rsid w:val="00D32CFB"/>
    <w:rsid w:val="00D338C3"/>
    <w:rsid w:val="00D33963"/>
    <w:rsid w:val="00D3431E"/>
    <w:rsid w:val="00D34BE1"/>
    <w:rsid w:val="00D34DA9"/>
    <w:rsid w:val="00D3537C"/>
    <w:rsid w:val="00D37396"/>
    <w:rsid w:val="00D40545"/>
    <w:rsid w:val="00D40869"/>
    <w:rsid w:val="00D409C4"/>
    <w:rsid w:val="00D40C24"/>
    <w:rsid w:val="00D41333"/>
    <w:rsid w:val="00D413E3"/>
    <w:rsid w:val="00D42628"/>
    <w:rsid w:val="00D428A7"/>
    <w:rsid w:val="00D42EF2"/>
    <w:rsid w:val="00D42F21"/>
    <w:rsid w:val="00D468F4"/>
    <w:rsid w:val="00D46EC5"/>
    <w:rsid w:val="00D50944"/>
    <w:rsid w:val="00D515F1"/>
    <w:rsid w:val="00D52346"/>
    <w:rsid w:val="00D52356"/>
    <w:rsid w:val="00D5428E"/>
    <w:rsid w:val="00D544B1"/>
    <w:rsid w:val="00D5487C"/>
    <w:rsid w:val="00D549B3"/>
    <w:rsid w:val="00D54A55"/>
    <w:rsid w:val="00D54C95"/>
    <w:rsid w:val="00D551D0"/>
    <w:rsid w:val="00D55DBF"/>
    <w:rsid w:val="00D578A9"/>
    <w:rsid w:val="00D57E94"/>
    <w:rsid w:val="00D60787"/>
    <w:rsid w:val="00D611D4"/>
    <w:rsid w:val="00D6179A"/>
    <w:rsid w:val="00D6199B"/>
    <w:rsid w:val="00D63FD1"/>
    <w:rsid w:val="00D648F8"/>
    <w:rsid w:val="00D6741B"/>
    <w:rsid w:val="00D674E3"/>
    <w:rsid w:val="00D678E1"/>
    <w:rsid w:val="00D702B8"/>
    <w:rsid w:val="00D70CC3"/>
    <w:rsid w:val="00D7168A"/>
    <w:rsid w:val="00D71FD4"/>
    <w:rsid w:val="00D72DC4"/>
    <w:rsid w:val="00D73004"/>
    <w:rsid w:val="00D747CD"/>
    <w:rsid w:val="00D7584E"/>
    <w:rsid w:val="00D75D12"/>
    <w:rsid w:val="00D76056"/>
    <w:rsid w:val="00D76063"/>
    <w:rsid w:val="00D777D5"/>
    <w:rsid w:val="00D80BCD"/>
    <w:rsid w:val="00D811A7"/>
    <w:rsid w:val="00D826A6"/>
    <w:rsid w:val="00D8273D"/>
    <w:rsid w:val="00D84076"/>
    <w:rsid w:val="00D86CB6"/>
    <w:rsid w:val="00D91732"/>
    <w:rsid w:val="00D936A8"/>
    <w:rsid w:val="00D93DA2"/>
    <w:rsid w:val="00D9413E"/>
    <w:rsid w:val="00D944F1"/>
    <w:rsid w:val="00D948B4"/>
    <w:rsid w:val="00D9496C"/>
    <w:rsid w:val="00D94DBA"/>
    <w:rsid w:val="00D950B1"/>
    <w:rsid w:val="00D959BF"/>
    <w:rsid w:val="00D95C14"/>
    <w:rsid w:val="00D95E03"/>
    <w:rsid w:val="00D9700D"/>
    <w:rsid w:val="00D97751"/>
    <w:rsid w:val="00DA086D"/>
    <w:rsid w:val="00DA159F"/>
    <w:rsid w:val="00DA36B9"/>
    <w:rsid w:val="00DA522D"/>
    <w:rsid w:val="00DA7588"/>
    <w:rsid w:val="00DB02BA"/>
    <w:rsid w:val="00DB1753"/>
    <w:rsid w:val="00DB28E9"/>
    <w:rsid w:val="00DB2A7E"/>
    <w:rsid w:val="00DB33F6"/>
    <w:rsid w:val="00DB4C4D"/>
    <w:rsid w:val="00DB534C"/>
    <w:rsid w:val="00DB5745"/>
    <w:rsid w:val="00DB66FB"/>
    <w:rsid w:val="00DB75DA"/>
    <w:rsid w:val="00DC05BF"/>
    <w:rsid w:val="00DC0E9C"/>
    <w:rsid w:val="00DC11DF"/>
    <w:rsid w:val="00DC1A42"/>
    <w:rsid w:val="00DC1AA7"/>
    <w:rsid w:val="00DC1C10"/>
    <w:rsid w:val="00DC1D59"/>
    <w:rsid w:val="00DC49CC"/>
    <w:rsid w:val="00DC6BEC"/>
    <w:rsid w:val="00DC6EB7"/>
    <w:rsid w:val="00DC715F"/>
    <w:rsid w:val="00DC7166"/>
    <w:rsid w:val="00DC7863"/>
    <w:rsid w:val="00DD0442"/>
    <w:rsid w:val="00DD1424"/>
    <w:rsid w:val="00DD1537"/>
    <w:rsid w:val="00DD16B8"/>
    <w:rsid w:val="00DD1DF8"/>
    <w:rsid w:val="00DD3680"/>
    <w:rsid w:val="00DD4037"/>
    <w:rsid w:val="00DD41E0"/>
    <w:rsid w:val="00DD43AE"/>
    <w:rsid w:val="00DD450B"/>
    <w:rsid w:val="00DD46F6"/>
    <w:rsid w:val="00DD4D7A"/>
    <w:rsid w:val="00DD602F"/>
    <w:rsid w:val="00DD6061"/>
    <w:rsid w:val="00DD6318"/>
    <w:rsid w:val="00DD67E0"/>
    <w:rsid w:val="00DD7CF3"/>
    <w:rsid w:val="00DE144D"/>
    <w:rsid w:val="00DE1B88"/>
    <w:rsid w:val="00DE22AC"/>
    <w:rsid w:val="00DE230A"/>
    <w:rsid w:val="00DE2C68"/>
    <w:rsid w:val="00DE3F6C"/>
    <w:rsid w:val="00DE4BD0"/>
    <w:rsid w:val="00DE4DC4"/>
    <w:rsid w:val="00DE4E66"/>
    <w:rsid w:val="00DE75E7"/>
    <w:rsid w:val="00DF0B7B"/>
    <w:rsid w:val="00DF2A81"/>
    <w:rsid w:val="00DF3189"/>
    <w:rsid w:val="00DF3900"/>
    <w:rsid w:val="00DF39A6"/>
    <w:rsid w:val="00DF3BB4"/>
    <w:rsid w:val="00DF4ED4"/>
    <w:rsid w:val="00DF56FE"/>
    <w:rsid w:val="00DF7036"/>
    <w:rsid w:val="00DF789F"/>
    <w:rsid w:val="00DF7943"/>
    <w:rsid w:val="00E0008E"/>
    <w:rsid w:val="00E007F8"/>
    <w:rsid w:val="00E008A5"/>
    <w:rsid w:val="00E01F68"/>
    <w:rsid w:val="00E02057"/>
    <w:rsid w:val="00E039CF"/>
    <w:rsid w:val="00E03C2C"/>
    <w:rsid w:val="00E03DE6"/>
    <w:rsid w:val="00E04571"/>
    <w:rsid w:val="00E0467E"/>
    <w:rsid w:val="00E05C01"/>
    <w:rsid w:val="00E06772"/>
    <w:rsid w:val="00E06B18"/>
    <w:rsid w:val="00E06F62"/>
    <w:rsid w:val="00E07D00"/>
    <w:rsid w:val="00E10136"/>
    <w:rsid w:val="00E111B4"/>
    <w:rsid w:val="00E11B9C"/>
    <w:rsid w:val="00E13333"/>
    <w:rsid w:val="00E13CDE"/>
    <w:rsid w:val="00E13EC5"/>
    <w:rsid w:val="00E14326"/>
    <w:rsid w:val="00E15A8A"/>
    <w:rsid w:val="00E17CD1"/>
    <w:rsid w:val="00E17D1D"/>
    <w:rsid w:val="00E204E5"/>
    <w:rsid w:val="00E20A34"/>
    <w:rsid w:val="00E21DB5"/>
    <w:rsid w:val="00E220E9"/>
    <w:rsid w:val="00E2234F"/>
    <w:rsid w:val="00E248FF"/>
    <w:rsid w:val="00E24ABC"/>
    <w:rsid w:val="00E25438"/>
    <w:rsid w:val="00E25480"/>
    <w:rsid w:val="00E255E6"/>
    <w:rsid w:val="00E25DF0"/>
    <w:rsid w:val="00E25F73"/>
    <w:rsid w:val="00E26100"/>
    <w:rsid w:val="00E26336"/>
    <w:rsid w:val="00E26E58"/>
    <w:rsid w:val="00E27C54"/>
    <w:rsid w:val="00E3090A"/>
    <w:rsid w:val="00E317EC"/>
    <w:rsid w:val="00E32AB2"/>
    <w:rsid w:val="00E32C22"/>
    <w:rsid w:val="00E330A3"/>
    <w:rsid w:val="00E343CD"/>
    <w:rsid w:val="00E3465C"/>
    <w:rsid w:val="00E34813"/>
    <w:rsid w:val="00E34D56"/>
    <w:rsid w:val="00E3502E"/>
    <w:rsid w:val="00E35A9D"/>
    <w:rsid w:val="00E4053C"/>
    <w:rsid w:val="00E40800"/>
    <w:rsid w:val="00E4167E"/>
    <w:rsid w:val="00E42CE2"/>
    <w:rsid w:val="00E43379"/>
    <w:rsid w:val="00E449B8"/>
    <w:rsid w:val="00E449CA"/>
    <w:rsid w:val="00E44D9B"/>
    <w:rsid w:val="00E44F87"/>
    <w:rsid w:val="00E457B4"/>
    <w:rsid w:val="00E45BBE"/>
    <w:rsid w:val="00E46178"/>
    <w:rsid w:val="00E462B8"/>
    <w:rsid w:val="00E463A6"/>
    <w:rsid w:val="00E46908"/>
    <w:rsid w:val="00E46E19"/>
    <w:rsid w:val="00E47A51"/>
    <w:rsid w:val="00E47F21"/>
    <w:rsid w:val="00E50221"/>
    <w:rsid w:val="00E51BCC"/>
    <w:rsid w:val="00E52B1E"/>
    <w:rsid w:val="00E532B5"/>
    <w:rsid w:val="00E53927"/>
    <w:rsid w:val="00E53E0E"/>
    <w:rsid w:val="00E549B0"/>
    <w:rsid w:val="00E57C62"/>
    <w:rsid w:val="00E604F5"/>
    <w:rsid w:val="00E609A0"/>
    <w:rsid w:val="00E60A24"/>
    <w:rsid w:val="00E60FDA"/>
    <w:rsid w:val="00E61287"/>
    <w:rsid w:val="00E61BF5"/>
    <w:rsid w:val="00E62D46"/>
    <w:rsid w:val="00E63211"/>
    <w:rsid w:val="00E63DF8"/>
    <w:rsid w:val="00E63E0F"/>
    <w:rsid w:val="00E66C43"/>
    <w:rsid w:val="00E6752C"/>
    <w:rsid w:val="00E676D3"/>
    <w:rsid w:val="00E679D9"/>
    <w:rsid w:val="00E7029A"/>
    <w:rsid w:val="00E707EF"/>
    <w:rsid w:val="00E714F8"/>
    <w:rsid w:val="00E71AA2"/>
    <w:rsid w:val="00E720F3"/>
    <w:rsid w:val="00E721BD"/>
    <w:rsid w:val="00E733BF"/>
    <w:rsid w:val="00E734B6"/>
    <w:rsid w:val="00E74295"/>
    <w:rsid w:val="00E74CAE"/>
    <w:rsid w:val="00E74E0C"/>
    <w:rsid w:val="00E75940"/>
    <w:rsid w:val="00E7603E"/>
    <w:rsid w:val="00E7659B"/>
    <w:rsid w:val="00E76E4E"/>
    <w:rsid w:val="00E77B2E"/>
    <w:rsid w:val="00E8009B"/>
    <w:rsid w:val="00E80AC9"/>
    <w:rsid w:val="00E80FA5"/>
    <w:rsid w:val="00E81290"/>
    <w:rsid w:val="00E812D9"/>
    <w:rsid w:val="00E84031"/>
    <w:rsid w:val="00E8433B"/>
    <w:rsid w:val="00E84481"/>
    <w:rsid w:val="00E8457D"/>
    <w:rsid w:val="00E856B9"/>
    <w:rsid w:val="00E85BBD"/>
    <w:rsid w:val="00E85C08"/>
    <w:rsid w:val="00E85DA8"/>
    <w:rsid w:val="00E86B29"/>
    <w:rsid w:val="00E86DF9"/>
    <w:rsid w:val="00E875F8"/>
    <w:rsid w:val="00E904F3"/>
    <w:rsid w:val="00E90865"/>
    <w:rsid w:val="00E91864"/>
    <w:rsid w:val="00E9301D"/>
    <w:rsid w:val="00E9612C"/>
    <w:rsid w:val="00E96AE4"/>
    <w:rsid w:val="00E96E63"/>
    <w:rsid w:val="00EA3059"/>
    <w:rsid w:val="00EA4DF1"/>
    <w:rsid w:val="00EA5F17"/>
    <w:rsid w:val="00EA6484"/>
    <w:rsid w:val="00EA6A79"/>
    <w:rsid w:val="00EA6BD0"/>
    <w:rsid w:val="00EA7322"/>
    <w:rsid w:val="00EA7705"/>
    <w:rsid w:val="00EA79D4"/>
    <w:rsid w:val="00EA7F23"/>
    <w:rsid w:val="00EB022C"/>
    <w:rsid w:val="00EB0439"/>
    <w:rsid w:val="00EB1045"/>
    <w:rsid w:val="00EB1463"/>
    <w:rsid w:val="00EB147E"/>
    <w:rsid w:val="00EB15F0"/>
    <w:rsid w:val="00EB1CA8"/>
    <w:rsid w:val="00EB2246"/>
    <w:rsid w:val="00EB2A63"/>
    <w:rsid w:val="00EB344B"/>
    <w:rsid w:val="00EB34B9"/>
    <w:rsid w:val="00EB4474"/>
    <w:rsid w:val="00EB460A"/>
    <w:rsid w:val="00EB5465"/>
    <w:rsid w:val="00EB5D73"/>
    <w:rsid w:val="00EB61EC"/>
    <w:rsid w:val="00EB67A0"/>
    <w:rsid w:val="00EB6ADA"/>
    <w:rsid w:val="00EC03B8"/>
    <w:rsid w:val="00EC0562"/>
    <w:rsid w:val="00EC0C1B"/>
    <w:rsid w:val="00EC142F"/>
    <w:rsid w:val="00EC1F24"/>
    <w:rsid w:val="00EC1F9C"/>
    <w:rsid w:val="00EC28B9"/>
    <w:rsid w:val="00EC33C5"/>
    <w:rsid w:val="00EC3A37"/>
    <w:rsid w:val="00EC405F"/>
    <w:rsid w:val="00EC4C05"/>
    <w:rsid w:val="00EC5589"/>
    <w:rsid w:val="00EC5E82"/>
    <w:rsid w:val="00ED1034"/>
    <w:rsid w:val="00ED257D"/>
    <w:rsid w:val="00ED2581"/>
    <w:rsid w:val="00ED2608"/>
    <w:rsid w:val="00ED33F2"/>
    <w:rsid w:val="00ED366C"/>
    <w:rsid w:val="00ED3C5C"/>
    <w:rsid w:val="00ED3ED1"/>
    <w:rsid w:val="00ED411A"/>
    <w:rsid w:val="00ED4E64"/>
    <w:rsid w:val="00ED5F3A"/>
    <w:rsid w:val="00ED7502"/>
    <w:rsid w:val="00EE014E"/>
    <w:rsid w:val="00EE0887"/>
    <w:rsid w:val="00EE0CF2"/>
    <w:rsid w:val="00EE14C6"/>
    <w:rsid w:val="00EE1999"/>
    <w:rsid w:val="00EE2465"/>
    <w:rsid w:val="00EE262C"/>
    <w:rsid w:val="00EE2643"/>
    <w:rsid w:val="00EE270D"/>
    <w:rsid w:val="00EE2A2D"/>
    <w:rsid w:val="00EE2BF1"/>
    <w:rsid w:val="00EE3337"/>
    <w:rsid w:val="00EE36D2"/>
    <w:rsid w:val="00EE43AD"/>
    <w:rsid w:val="00EE4AA7"/>
    <w:rsid w:val="00EE4FF2"/>
    <w:rsid w:val="00EE549E"/>
    <w:rsid w:val="00EE7714"/>
    <w:rsid w:val="00EF1FD2"/>
    <w:rsid w:val="00EF321E"/>
    <w:rsid w:val="00EF34DD"/>
    <w:rsid w:val="00EF44E6"/>
    <w:rsid w:val="00EF5395"/>
    <w:rsid w:val="00EF5C96"/>
    <w:rsid w:val="00EF5F05"/>
    <w:rsid w:val="00EF5F51"/>
    <w:rsid w:val="00EF66A2"/>
    <w:rsid w:val="00EF6B96"/>
    <w:rsid w:val="00EF7239"/>
    <w:rsid w:val="00EF78E7"/>
    <w:rsid w:val="00F00289"/>
    <w:rsid w:val="00F02024"/>
    <w:rsid w:val="00F029DD"/>
    <w:rsid w:val="00F02D92"/>
    <w:rsid w:val="00F03899"/>
    <w:rsid w:val="00F03986"/>
    <w:rsid w:val="00F0529B"/>
    <w:rsid w:val="00F054A1"/>
    <w:rsid w:val="00F0559A"/>
    <w:rsid w:val="00F05801"/>
    <w:rsid w:val="00F0585B"/>
    <w:rsid w:val="00F068B0"/>
    <w:rsid w:val="00F10708"/>
    <w:rsid w:val="00F1146F"/>
    <w:rsid w:val="00F118BA"/>
    <w:rsid w:val="00F11CFE"/>
    <w:rsid w:val="00F120C7"/>
    <w:rsid w:val="00F126F0"/>
    <w:rsid w:val="00F15FA5"/>
    <w:rsid w:val="00F1715E"/>
    <w:rsid w:val="00F204C4"/>
    <w:rsid w:val="00F20B36"/>
    <w:rsid w:val="00F21130"/>
    <w:rsid w:val="00F2245C"/>
    <w:rsid w:val="00F22616"/>
    <w:rsid w:val="00F252FA"/>
    <w:rsid w:val="00F2595D"/>
    <w:rsid w:val="00F25DF0"/>
    <w:rsid w:val="00F262CA"/>
    <w:rsid w:val="00F275B0"/>
    <w:rsid w:val="00F30774"/>
    <w:rsid w:val="00F30919"/>
    <w:rsid w:val="00F30B9E"/>
    <w:rsid w:val="00F3144D"/>
    <w:rsid w:val="00F3145C"/>
    <w:rsid w:val="00F327CE"/>
    <w:rsid w:val="00F32A9D"/>
    <w:rsid w:val="00F32F67"/>
    <w:rsid w:val="00F33AD5"/>
    <w:rsid w:val="00F34302"/>
    <w:rsid w:val="00F34316"/>
    <w:rsid w:val="00F34C02"/>
    <w:rsid w:val="00F34C40"/>
    <w:rsid w:val="00F34DE5"/>
    <w:rsid w:val="00F35E3F"/>
    <w:rsid w:val="00F36ADA"/>
    <w:rsid w:val="00F36B26"/>
    <w:rsid w:val="00F36C58"/>
    <w:rsid w:val="00F41299"/>
    <w:rsid w:val="00F412A6"/>
    <w:rsid w:val="00F41B80"/>
    <w:rsid w:val="00F41E28"/>
    <w:rsid w:val="00F423BB"/>
    <w:rsid w:val="00F42EAC"/>
    <w:rsid w:val="00F437D5"/>
    <w:rsid w:val="00F43BD5"/>
    <w:rsid w:val="00F44461"/>
    <w:rsid w:val="00F44832"/>
    <w:rsid w:val="00F44F35"/>
    <w:rsid w:val="00F45491"/>
    <w:rsid w:val="00F4617A"/>
    <w:rsid w:val="00F46796"/>
    <w:rsid w:val="00F468B4"/>
    <w:rsid w:val="00F471CC"/>
    <w:rsid w:val="00F4739E"/>
    <w:rsid w:val="00F4743D"/>
    <w:rsid w:val="00F505A2"/>
    <w:rsid w:val="00F510E6"/>
    <w:rsid w:val="00F514D2"/>
    <w:rsid w:val="00F5170F"/>
    <w:rsid w:val="00F527DA"/>
    <w:rsid w:val="00F528CD"/>
    <w:rsid w:val="00F52B84"/>
    <w:rsid w:val="00F52D1E"/>
    <w:rsid w:val="00F53ABE"/>
    <w:rsid w:val="00F53FDC"/>
    <w:rsid w:val="00F543EE"/>
    <w:rsid w:val="00F5520C"/>
    <w:rsid w:val="00F5582E"/>
    <w:rsid w:val="00F559BF"/>
    <w:rsid w:val="00F57070"/>
    <w:rsid w:val="00F5711B"/>
    <w:rsid w:val="00F5777A"/>
    <w:rsid w:val="00F60C19"/>
    <w:rsid w:val="00F6102F"/>
    <w:rsid w:val="00F610BD"/>
    <w:rsid w:val="00F61E85"/>
    <w:rsid w:val="00F62368"/>
    <w:rsid w:val="00F62A41"/>
    <w:rsid w:val="00F63224"/>
    <w:rsid w:val="00F643C8"/>
    <w:rsid w:val="00F64429"/>
    <w:rsid w:val="00F64AC0"/>
    <w:rsid w:val="00F659B4"/>
    <w:rsid w:val="00F65BCB"/>
    <w:rsid w:val="00F65E75"/>
    <w:rsid w:val="00F66E39"/>
    <w:rsid w:val="00F67566"/>
    <w:rsid w:val="00F67E65"/>
    <w:rsid w:val="00F70262"/>
    <w:rsid w:val="00F702C4"/>
    <w:rsid w:val="00F702D6"/>
    <w:rsid w:val="00F7044F"/>
    <w:rsid w:val="00F70831"/>
    <w:rsid w:val="00F70C72"/>
    <w:rsid w:val="00F73573"/>
    <w:rsid w:val="00F73F0B"/>
    <w:rsid w:val="00F741BB"/>
    <w:rsid w:val="00F74868"/>
    <w:rsid w:val="00F754AD"/>
    <w:rsid w:val="00F758A6"/>
    <w:rsid w:val="00F75E62"/>
    <w:rsid w:val="00F778C4"/>
    <w:rsid w:val="00F77F7F"/>
    <w:rsid w:val="00F81CB6"/>
    <w:rsid w:val="00F82742"/>
    <w:rsid w:val="00F827D7"/>
    <w:rsid w:val="00F82ED6"/>
    <w:rsid w:val="00F84F8C"/>
    <w:rsid w:val="00F87DC3"/>
    <w:rsid w:val="00F90482"/>
    <w:rsid w:val="00F90F4F"/>
    <w:rsid w:val="00F911AA"/>
    <w:rsid w:val="00F911C0"/>
    <w:rsid w:val="00F91727"/>
    <w:rsid w:val="00F91EEE"/>
    <w:rsid w:val="00F93002"/>
    <w:rsid w:val="00F934E8"/>
    <w:rsid w:val="00F936FC"/>
    <w:rsid w:val="00F9438F"/>
    <w:rsid w:val="00F9443E"/>
    <w:rsid w:val="00F973C5"/>
    <w:rsid w:val="00FA0926"/>
    <w:rsid w:val="00FA117D"/>
    <w:rsid w:val="00FA1539"/>
    <w:rsid w:val="00FA1B85"/>
    <w:rsid w:val="00FA28A2"/>
    <w:rsid w:val="00FA2C5A"/>
    <w:rsid w:val="00FA3ECA"/>
    <w:rsid w:val="00FA3EF0"/>
    <w:rsid w:val="00FA432C"/>
    <w:rsid w:val="00FA49D7"/>
    <w:rsid w:val="00FA512E"/>
    <w:rsid w:val="00FA5A37"/>
    <w:rsid w:val="00FA5AA1"/>
    <w:rsid w:val="00FA5BE3"/>
    <w:rsid w:val="00FA6084"/>
    <w:rsid w:val="00FA6823"/>
    <w:rsid w:val="00FA68B3"/>
    <w:rsid w:val="00FA6ACB"/>
    <w:rsid w:val="00FA6B4A"/>
    <w:rsid w:val="00FA7149"/>
    <w:rsid w:val="00FA7AFA"/>
    <w:rsid w:val="00FB0C6D"/>
    <w:rsid w:val="00FB17DF"/>
    <w:rsid w:val="00FB2D01"/>
    <w:rsid w:val="00FB328E"/>
    <w:rsid w:val="00FB3698"/>
    <w:rsid w:val="00FB3B59"/>
    <w:rsid w:val="00FB3E1F"/>
    <w:rsid w:val="00FB6DE1"/>
    <w:rsid w:val="00FB72AA"/>
    <w:rsid w:val="00FB762A"/>
    <w:rsid w:val="00FC0BCF"/>
    <w:rsid w:val="00FC0E5B"/>
    <w:rsid w:val="00FC1F1D"/>
    <w:rsid w:val="00FC3653"/>
    <w:rsid w:val="00FC3D38"/>
    <w:rsid w:val="00FC41C6"/>
    <w:rsid w:val="00FC4D5F"/>
    <w:rsid w:val="00FC588D"/>
    <w:rsid w:val="00FC67B0"/>
    <w:rsid w:val="00FC71CD"/>
    <w:rsid w:val="00FC7364"/>
    <w:rsid w:val="00FC7B7B"/>
    <w:rsid w:val="00FD147F"/>
    <w:rsid w:val="00FD2121"/>
    <w:rsid w:val="00FD24BD"/>
    <w:rsid w:val="00FD33A9"/>
    <w:rsid w:val="00FD35D2"/>
    <w:rsid w:val="00FD3746"/>
    <w:rsid w:val="00FD40E3"/>
    <w:rsid w:val="00FD53F9"/>
    <w:rsid w:val="00FD5680"/>
    <w:rsid w:val="00FD595A"/>
    <w:rsid w:val="00FD5D6C"/>
    <w:rsid w:val="00FD60BE"/>
    <w:rsid w:val="00FD60CF"/>
    <w:rsid w:val="00FD7016"/>
    <w:rsid w:val="00FD78EE"/>
    <w:rsid w:val="00FD7949"/>
    <w:rsid w:val="00FE101D"/>
    <w:rsid w:val="00FE2E35"/>
    <w:rsid w:val="00FE3E05"/>
    <w:rsid w:val="00FE43B5"/>
    <w:rsid w:val="00FE48A1"/>
    <w:rsid w:val="00FE4C87"/>
    <w:rsid w:val="00FE56EB"/>
    <w:rsid w:val="00FE5EAA"/>
    <w:rsid w:val="00FE6564"/>
    <w:rsid w:val="00FE673C"/>
    <w:rsid w:val="00FE6C4E"/>
    <w:rsid w:val="00FE799B"/>
    <w:rsid w:val="00FF0F8C"/>
    <w:rsid w:val="00FF1EAE"/>
    <w:rsid w:val="00FF2082"/>
    <w:rsid w:val="00FF336E"/>
    <w:rsid w:val="00FF5093"/>
    <w:rsid w:val="00FF5FD3"/>
    <w:rsid w:val="00FF706B"/>
    <w:rsid w:val="00FF74AC"/>
    <w:rsid w:val="00FF76ED"/>
    <w:rsid w:val="00FF7734"/>
    <w:rsid w:val="00FF79D2"/>
    <w:rsid w:val="00FF7EB3"/>
    <w:rsid w:val="3418FB57"/>
    <w:rsid w:val="3C8091D4"/>
    <w:rsid w:val="48DE86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F5CD78"/>
  <w15:docId w15:val="{9178FB21-A1A2-480D-B737-CD891882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iPriority="99" w:unhideWhenUsed="1"/>
    <w:lsdException w:name="caption" w:semiHidden="1" w:unhideWhenUsed="1" w:qFormat="1"/>
    <w:lsdException w:name="table of figures" w:locked="1" w:semiHidden="1" w:uiPriority="99"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iPriority="99" w:unhideWhenUsed="1"/>
    <w:lsdException w:name="Signature" w:locked="1" w:semiHidden="1" w:uiPriority="99" w:unhideWhenUsed="1"/>
    <w:lsdException w:name="Default Paragraph Font" w:uiPriority="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iPriority="99" w:unhideWhenUsed="1"/>
    <w:lsdException w:name="Subtitle"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nhideWhenUsed="1"/>
    <w:lsdException w:name="Strong" w:qFormat="1"/>
    <w:lsdException w:name="Emphasis"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Preformatte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26991"/>
    <w:pPr>
      <w:jc w:val="both"/>
    </w:pPr>
    <w:rPr>
      <w:kern w:val="22"/>
      <w:sz w:val="24"/>
      <w:szCs w:val="24"/>
    </w:rPr>
  </w:style>
  <w:style w:type="paragraph" w:styleId="berschrift1">
    <w:name w:val="heading 1"/>
    <w:basedOn w:val="berschrift"/>
    <w:next w:val="Text"/>
    <w:link w:val="berschrift1Zchn"/>
    <w:qFormat/>
    <w:rsid w:val="00426991"/>
    <w:pPr>
      <w:pageBreakBefore/>
      <w:numPr>
        <w:numId w:val="23"/>
      </w:numPr>
      <w:spacing w:after="600"/>
      <w:outlineLvl w:val="0"/>
    </w:pPr>
    <w:rPr>
      <w:rFonts w:ascii="Arial" w:hAnsi="Arial" w:cs="Arial"/>
      <w:b/>
      <w:bCs/>
      <w:kern w:val="32"/>
      <w:sz w:val="44"/>
      <w:szCs w:val="32"/>
    </w:rPr>
  </w:style>
  <w:style w:type="paragraph" w:styleId="berschrift2">
    <w:name w:val="heading 2"/>
    <w:basedOn w:val="berschrift"/>
    <w:next w:val="Text"/>
    <w:link w:val="berschrift2Zchn"/>
    <w:qFormat/>
    <w:rsid w:val="00426991"/>
    <w:pPr>
      <w:numPr>
        <w:ilvl w:val="1"/>
        <w:numId w:val="23"/>
      </w:numPr>
      <w:spacing w:before="840" w:after="60"/>
      <w:outlineLvl w:val="1"/>
    </w:pPr>
    <w:rPr>
      <w:rFonts w:ascii="Arial" w:hAnsi="Arial" w:cs="Arial"/>
      <w:b/>
      <w:bCs/>
      <w:i/>
      <w:iCs/>
      <w:sz w:val="34"/>
      <w:szCs w:val="28"/>
    </w:rPr>
  </w:style>
  <w:style w:type="paragraph" w:styleId="berschrift3">
    <w:name w:val="heading 3"/>
    <w:basedOn w:val="berschrift"/>
    <w:next w:val="Text"/>
    <w:link w:val="berschrift3Zchn"/>
    <w:qFormat/>
    <w:rsid w:val="00426991"/>
    <w:pPr>
      <w:numPr>
        <w:ilvl w:val="2"/>
        <w:numId w:val="23"/>
      </w:numPr>
      <w:spacing w:before="480" w:after="240"/>
      <w:jc w:val="center"/>
      <w:outlineLvl w:val="2"/>
    </w:pPr>
    <w:rPr>
      <w:rFonts w:ascii="Arial" w:hAnsi="Arial" w:cs="Arial"/>
      <w:b/>
      <w:bCs/>
      <w:sz w:val="28"/>
      <w:szCs w:val="26"/>
    </w:rPr>
  </w:style>
  <w:style w:type="paragraph" w:styleId="berschrift4">
    <w:name w:val="heading 4"/>
    <w:basedOn w:val="berschrift"/>
    <w:next w:val="Text"/>
    <w:link w:val="berschrift4Zchn"/>
    <w:qFormat/>
    <w:rsid w:val="00426991"/>
    <w:pPr>
      <w:numPr>
        <w:ilvl w:val="3"/>
        <w:numId w:val="23"/>
      </w:numPr>
      <w:tabs>
        <w:tab w:val="clear" w:pos="709"/>
        <w:tab w:val="num" w:pos="567"/>
      </w:tabs>
      <w:spacing w:before="360" w:after="240"/>
      <w:ind w:left="567"/>
      <w:outlineLvl w:val="3"/>
    </w:pPr>
    <w:rPr>
      <w:b/>
      <w:bCs/>
      <w:sz w:val="28"/>
      <w:szCs w:val="28"/>
    </w:rPr>
  </w:style>
  <w:style w:type="paragraph" w:styleId="berschrift5">
    <w:name w:val="heading 5"/>
    <w:basedOn w:val="berschrift"/>
    <w:next w:val="Text"/>
    <w:link w:val="berschrift5Zchn"/>
    <w:qFormat/>
    <w:rsid w:val="00426991"/>
    <w:pPr>
      <w:numPr>
        <w:ilvl w:val="4"/>
        <w:numId w:val="23"/>
      </w:numPr>
      <w:spacing w:before="240" w:after="240"/>
      <w:outlineLvl w:val="4"/>
    </w:pPr>
    <w:rPr>
      <w:b/>
      <w:bCs/>
      <w:i/>
      <w:iCs/>
      <w:sz w:val="26"/>
      <w:szCs w:val="26"/>
    </w:rPr>
  </w:style>
  <w:style w:type="paragraph" w:styleId="berschrift6">
    <w:name w:val="heading 6"/>
    <w:basedOn w:val="berschrift"/>
    <w:next w:val="Text"/>
    <w:link w:val="berschrift6Zchn"/>
    <w:qFormat/>
    <w:rsid w:val="00426991"/>
    <w:pPr>
      <w:numPr>
        <w:ilvl w:val="5"/>
        <w:numId w:val="23"/>
      </w:numPr>
      <w:spacing w:before="240" w:after="120"/>
      <w:outlineLvl w:val="5"/>
    </w:pPr>
    <w:rPr>
      <w:b/>
      <w:bCs/>
      <w:sz w:val="22"/>
      <w:szCs w:val="22"/>
    </w:rPr>
  </w:style>
  <w:style w:type="paragraph" w:styleId="berschrift7">
    <w:name w:val="heading 7"/>
    <w:basedOn w:val="berschrift"/>
    <w:next w:val="Text"/>
    <w:link w:val="berschrift7Zchn"/>
    <w:qFormat/>
    <w:rsid w:val="00426991"/>
    <w:pPr>
      <w:numPr>
        <w:ilvl w:val="6"/>
        <w:numId w:val="23"/>
      </w:numPr>
      <w:spacing w:before="240" w:after="60"/>
      <w:outlineLvl w:val="6"/>
    </w:pPr>
  </w:style>
  <w:style w:type="paragraph" w:styleId="berschrift8">
    <w:name w:val="heading 8"/>
    <w:basedOn w:val="berschrift"/>
    <w:next w:val="Text"/>
    <w:link w:val="berschrift8Zchn"/>
    <w:qFormat/>
    <w:rsid w:val="00426991"/>
    <w:pPr>
      <w:numPr>
        <w:ilvl w:val="7"/>
        <w:numId w:val="23"/>
      </w:numPr>
      <w:spacing w:before="240" w:after="60"/>
      <w:outlineLvl w:val="7"/>
    </w:pPr>
    <w:rPr>
      <w:i/>
      <w:iCs/>
    </w:rPr>
  </w:style>
  <w:style w:type="paragraph" w:styleId="berschrift9">
    <w:name w:val="heading 9"/>
    <w:basedOn w:val="berschrift"/>
    <w:next w:val="Text"/>
    <w:link w:val="berschrift9Zchn"/>
    <w:qFormat/>
    <w:rsid w:val="00426991"/>
    <w:pPr>
      <w:numPr>
        <w:ilvl w:val="8"/>
        <w:numId w:val="23"/>
      </w:numPr>
      <w:spacing w:before="240" w:after="60"/>
      <w:outlineLvl w:val="8"/>
    </w:pPr>
    <w:rPr>
      <w:rFonts w:ascii="Automatisch" w:hAnsi="Automatisch"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00B74"/>
    <w:rPr>
      <w:rFonts w:ascii="Arial" w:hAnsi="Arial" w:cs="Arial"/>
      <w:b/>
      <w:bCs/>
      <w:kern w:val="32"/>
      <w:sz w:val="44"/>
      <w:szCs w:val="32"/>
    </w:rPr>
  </w:style>
  <w:style w:type="character" w:customStyle="1" w:styleId="berschrift2Zchn">
    <w:name w:val="Überschrift 2 Zchn"/>
    <w:link w:val="berschrift2"/>
    <w:locked/>
    <w:rsid w:val="00400B74"/>
    <w:rPr>
      <w:rFonts w:ascii="Arial" w:hAnsi="Arial" w:cs="Arial"/>
      <w:b/>
      <w:bCs/>
      <w:i/>
      <w:iCs/>
      <w:kern w:val="22"/>
      <w:sz w:val="34"/>
      <w:szCs w:val="28"/>
    </w:rPr>
  </w:style>
  <w:style w:type="character" w:customStyle="1" w:styleId="berschrift3Zchn">
    <w:name w:val="Überschrift 3 Zchn"/>
    <w:link w:val="berschrift3"/>
    <w:locked/>
    <w:rsid w:val="00400B74"/>
    <w:rPr>
      <w:rFonts w:ascii="Arial" w:hAnsi="Arial" w:cs="Arial"/>
      <w:b/>
      <w:bCs/>
      <w:kern w:val="22"/>
      <w:sz w:val="28"/>
      <w:szCs w:val="26"/>
    </w:rPr>
  </w:style>
  <w:style w:type="character" w:customStyle="1" w:styleId="berschrift4Zchn">
    <w:name w:val="Überschrift 4 Zchn"/>
    <w:link w:val="berschrift4"/>
    <w:locked/>
    <w:rsid w:val="00400B74"/>
    <w:rPr>
      <w:b/>
      <w:bCs/>
      <w:kern w:val="22"/>
      <w:sz w:val="28"/>
      <w:szCs w:val="28"/>
    </w:rPr>
  </w:style>
  <w:style w:type="character" w:customStyle="1" w:styleId="berschrift5Zchn">
    <w:name w:val="Überschrift 5 Zchn"/>
    <w:link w:val="berschrift5"/>
    <w:locked/>
    <w:rsid w:val="00400B74"/>
    <w:rPr>
      <w:b/>
      <w:bCs/>
      <w:i/>
      <w:iCs/>
      <w:kern w:val="22"/>
      <w:sz w:val="26"/>
      <w:szCs w:val="26"/>
    </w:rPr>
  </w:style>
  <w:style w:type="character" w:customStyle="1" w:styleId="berschrift6Zchn">
    <w:name w:val="Überschrift 6 Zchn"/>
    <w:link w:val="berschrift6"/>
    <w:locked/>
    <w:rsid w:val="00400B74"/>
    <w:rPr>
      <w:b/>
      <w:bCs/>
      <w:kern w:val="22"/>
      <w:sz w:val="22"/>
      <w:szCs w:val="22"/>
    </w:rPr>
  </w:style>
  <w:style w:type="character" w:customStyle="1" w:styleId="berschrift7Zchn">
    <w:name w:val="Überschrift 7 Zchn"/>
    <w:link w:val="berschrift7"/>
    <w:locked/>
    <w:rsid w:val="00400B74"/>
    <w:rPr>
      <w:kern w:val="22"/>
      <w:sz w:val="24"/>
      <w:szCs w:val="24"/>
    </w:rPr>
  </w:style>
  <w:style w:type="character" w:customStyle="1" w:styleId="berschrift8Zchn">
    <w:name w:val="Überschrift 8 Zchn"/>
    <w:link w:val="berschrift8"/>
    <w:locked/>
    <w:rsid w:val="00400B74"/>
    <w:rPr>
      <w:i/>
      <w:iCs/>
      <w:kern w:val="22"/>
      <w:sz w:val="24"/>
      <w:szCs w:val="24"/>
    </w:rPr>
  </w:style>
  <w:style w:type="character" w:customStyle="1" w:styleId="berschrift9Zchn">
    <w:name w:val="Überschrift 9 Zchn"/>
    <w:link w:val="berschrift9"/>
    <w:locked/>
    <w:rsid w:val="00400B74"/>
    <w:rPr>
      <w:rFonts w:ascii="Automatisch" w:hAnsi="Automatisch" w:cs="Arial"/>
      <w:kern w:val="22"/>
      <w:sz w:val="22"/>
      <w:szCs w:val="22"/>
    </w:rPr>
  </w:style>
  <w:style w:type="paragraph" w:styleId="Sprechblasentext">
    <w:name w:val="Balloon Text"/>
    <w:basedOn w:val="Standard"/>
    <w:link w:val="SprechblasentextZchn"/>
    <w:uiPriority w:val="99"/>
    <w:rsid w:val="00400B74"/>
    <w:rPr>
      <w:rFonts w:ascii="Tahoma" w:hAnsi="Tahoma" w:cs="Tahoma"/>
      <w:sz w:val="16"/>
      <w:szCs w:val="16"/>
    </w:rPr>
  </w:style>
  <w:style w:type="character" w:customStyle="1" w:styleId="SprechblasentextZchn">
    <w:name w:val="Sprechblasentext Zchn"/>
    <w:link w:val="Sprechblasentext"/>
    <w:uiPriority w:val="99"/>
    <w:locked/>
    <w:rsid w:val="00400B74"/>
    <w:rPr>
      <w:rFonts w:ascii="Tahoma" w:hAnsi="Tahoma" w:cs="Tahoma"/>
      <w:sz w:val="16"/>
      <w:szCs w:val="16"/>
    </w:rPr>
  </w:style>
  <w:style w:type="character" w:customStyle="1" w:styleId="PersnlicherErstellstil">
    <w:name w:val="Persönlicher Erstellstil"/>
    <w:uiPriority w:val="99"/>
    <w:rsid w:val="00C676B8"/>
    <w:rPr>
      <w:rFonts w:ascii="Arial" w:hAnsi="Arial" w:cs="Arial"/>
      <w:color w:val="auto"/>
      <w:sz w:val="20"/>
    </w:rPr>
  </w:style>
  <w:style w:type="character" w:customStyle="1" w:styleId="PersnlicherAntwortstil">
    <w:name w:val="Persönlicher Antwortstil"/>
    <w:uiPriority w:val="99"/>
    <w:rsid w:val="00C676B8"/>
    <w:rPr>
      <w:rFonts w:ascii="Arial" w:hAnsi="Arial" w:cs="Arial"/>
      <w:color w:val="auto"/>
      <w:sz w:val="20"/>
    </w:rPr>
  </w:style>
  <w:style w:type="paragraph" w:styleId="Funotentext">
    <w:name w:val="footnote text"/>
    <w:basedOn w:val="Standard"/>
    <w:link w:val="FunotentextZchn"/>
    <w:semiHidden/>
    <w:rsid w:val="00426991"/>
    <w:pPr>
      <w:tabs>
        <w:tab w:val="left" w:pos="312"/>
      </w:tabs>
      <w:spacing w:line="200" w:lineRule="exact"/>
      <w:ind w:left="312" w:hanging="312"/>
      <w:jc w:val="left"/>
    </w:pPr>
    <w:rPr>
      <w:sz w:val="18"/>
    </w:rPr>
  </w:style>
  <w:style w:type="character" w:customStyle="1" w:styleId="FunotentextZchn">
    <w:name w:val="Fußnotentext Zchn"/>
    <w:link w:val="Funotentext"/>
    <w:semiHidden/>
    <w:locked/>
    <w:rsid w:val="00D257A6"/>
    <w:rPr>
      <w:kern w:val="22"/>
      <w:sz w:val="18"/>
      <w:szCs w:val="24"/>
    </w:rPr>
  </w:style>
  <w:style w:type="character" w:styleId="Funotenzeichen">
    <w:name w:val="footnote reference"/>
    <w:basedOn w:val="Absatz-Standardschriftart"/>
    <w:semiHidden/>
    <w:rsid w:val="00426991"/>
    <w:rPr>
      <w:vertAlign w:val="superscript"/>
    </w:rPr>
  </w:style>
  <w:style w:type="paragraph" w:styleId="Verzeichnis1">
    <w:name w:val="toc 1"/>
    <w:basedOn w:val="Standard"/>
    <w:next w:val="Standard"/>
    <w:autoRedefine/>
    <w:uiPriority w:val="39"/>
    <w:qFormat/>
    <w:rsid w:val="00B421D3"/>
    <w:pPr>
      <w:spacing w:before="240"/>
    </w:pPr>
    <w:rPr>
      <w:b/>
      <w:bCs/>
      <w:sz w:val="20"/>
    </w:rPr>
  </w:style>
  <w:style w:type="paragraph" w:styleId="Verzeichnis2">
    <w:name w:val="toc 2"/>
    <w:basedOn w:val="Standard"/>
    <w:next w:val="Standard"/>
    <w:autoRedefine/>
    <w:uiPriority w:val="39"/>
    <w:qFormat/>
    <w:rsid w:val="00B421D3"/>
    <w:pPr>
      <w:spacing w:before="120"/>
      <w:ind w:left="240"/>
    </w:pPr>
    <w:rPr>
      <w:i/>
      <w:iCs/>
      <w:sz w:val="20"/>
    </w:rPr>
  </w:style>
  <w:style w:type="paragraph" w:styleId="Verzeichnis3">
    <w:name w:val="toc 3"/>
    <w:basedOn w:val="Standard"/>
    <w:next w:val="Standard"/>
    <w:autoRedefine/>
    <w:uiPriority w:val="39"/>
    <w:qFormat/>
    <w:rsid w:val="00424878"/>
    <w:pPr>
      <w:tabs>
        <w:tab w:val="right" w:leader="dot" w:pos="9062"/>
      </w:tabs>
      <w:ind w:left="480"/>
    </w:pPr>
    <w:rPr>
      <w:bCs/>
      <w:sz w:val="20"/>
    </w:rPr>
  </w:style>
  <w:style w:type="paragraph" w:styleId="Verzeichnis4">
    <w:name w:val="toc 4"/>
    <w:basedOn w:val="Standard"/>
    <w:next w:val="Standard"/>
    <w:autoRedefine/>
    <w:uiPriority w:val="39"/>
    <w:rsid w:val="00087FD9"/>
    <w:pPr>
      <w:tabs>
        <w:tab w:val="left" w:pos="1200"/>
        <w:tab w:val="right" w:leader="dot" w:pos="9062"/>
      </w:tabs>
      <w:ind w:left="720"/>
    </w:pPr>
    <w:rPr>
      <w:sz w:val="20"/>
    </w:rPr>
  </w:style>
  <w:style w:type="character" w:styleId="Hyperlink">
    <w:name w:val="Hyperlink"/>
    <w:basedOn w:val="Absatz-Standardschriftart"/>
    <w:uiPriority w:val="99"/>
    <w:rsid w:val="00426991"/>
    <w:rPr>
      <w:color w:val="0000FF"/>
      <w:u w:val="single"/>
    </w:rPr>
  </w:style>
  <w:style w:type="paragraph" w:styleId="Kopfzeile">
    <w:name w:val="header"/>
    <w:basedOn w:val="Standard"/>
    <w:link w:val="KopfzeileZchn"/>
    <w:uiPriority w:val="99"/>
    <w:rsid w:val="00426991"/>
    <w:pPr>
      <w:tabs>
        <w:tab w:val="center" w:pos="4536"/>
        <w:tab w:val="right" w:pos="9072"/>
      </w:tabs>
    </w:pPr>
  </w:style>
  <w:style w:type="character" w:customStyle="1" w:styleId="KopfzeileZchn">
    <w:name w:val="Kopfzeile Zchn"/>
    <w:link w:val="Kopfzeile"/>
    <w:uiPriority w:val="99"/>
    <w:locked/>
    <w:rsid w:val="00400B74"/>
    <w:rPr>
      <w:kern w:val="22"/>
      <w:sz w:val="24"/>
      <w:szCs w:val="24"/>
    </w:rPr>
  </w:style>
  <w:style w:type="paragraph" w:styleId="Fuzeile">
    <w:name w:val="footer"/>
    <w:basedOn w:val="Standard"/>
    <w:link w:val="FuzeileZchn"/>
    <w:uiPriority w:val="99"/>
    <w:rsid w:val="00426991"/>
    <w:pPr>
      <w:tabs>
        <w:tab w:val="center" w:pos="4536"/>
        <w:tab w:val="right" w:pos="9072"/>
      </w:tabs>
    </w:pPr>
  </w:style>
  <w:style w:type="character" w:customStyle="1" w:styleId="FuzeileZchn">
    <w:name w:val="Fußzeile Zchn"/>
    <w:link w:val="Fuzeile"/>
    <w:uiPriority w:val="99"/>
    <w:locked/>
    <w:rsid w:val="00400B74"/>
    <w:rPr>
      <w:kern w:val="22"/>
      <w:sz w:val="24"/>
      <w:szCs w:val="24"/>
    </w:rPr>
  </w:style>
  <w:style w:type="character" w:styleId="Kommentarzeichen">
    <w:name w:val="annotation reference"/>
    <w:uiPriority w:val="99"/>
    <w:rsid w:val="00400B74"/>
    <w:rPr>
      <w:rFonts w:cs="Times New Roman"/>
      <w:sz w:val="16"/>
    </w:rPr>
  </w:style>
  <w:style w:type="paragraph" w:styleId="Kommentartext">
    <w:name w:val="annotation text"/>
    <w:basedOn w:val="Standard"/>
    <w:link w:val="KommentartextZchn"/>
    <w:uiPriority w:val="99"/>
    <w:rsid w:val="00400B74"/>
    <w:rPr>
      <w:sz w:val="20"/>
    </w:rPr>
  </w:style>
  <w:style w:type="character" w:customStyle="1" w:styleId="KommentartextZchn">
    <w:name w:val="Kommentartext Zchn"/>
    <w:link w:val="Kommentartext"/>
    <w:uiPriority w:val="99"/>
    <w:locked/>
    <w:rsid w:val="00400B74"/>
    <w:rPr>
      <w:rFonts w:cs="Times New Roman"/>
    </w:rPr>
  </w:style>
  <w:style w:type="paragraph" w:styleId="Kommentarthema">
    <w:name w:val="annotation subject"/>
    <w:basedOn w:val="Kommentartext"/>
    <w:next w:val="Kommentartext"/>
    <w:link w:val="KommentarthemaZchn"/>
    <w:uiPriority w:val="99"/>
    <w:rsid w:val="00400B74"/>
    <w:rPr>
      <w:b/>
      <w:bCs/>
    </w:rPr>
  </w:style>
  <w:style w:type="character" w:customStyle="1" w:styleId="KommentarthemaZchn">
    <w:name w:val="Kommentarthema Zchn"/>
    <w:link w:val="Kommentarthema"/>
    <w:uiPriority w:val="99"/>
    <w:locked/>
    <w:rsid w:val="00400B74"/>
    <w:rPr>
      <w:rFonts w:cs="Times New Roman"/>
      <w:b/>
      <w:bCs/>
    </w:rPr>
  </w:style>
  <w:style w:type="paragraph" w:customStyle="1" w:styleId="Schrifttum">
    <w:name w:val="Schrifttum"/>
    <w:basedOn w:val="Material"/>
    <w:next w:val="Text"/>
    <w:qFormat/>
    <w:rsid w:val="00426991"/>
    <w:pPr>
      <w:ind w:firstLine="0"/>
    </w:pPr>
    <w:rPr>
      <w:color w:val="auto"/>
    </w:rPr>
  </w:style>
  <w:style w:type="paragraph" w:customStyle="1" w:styleId="Definition">
    <w:name w:val="Definition"/>
    <w:basedOn w:val="Standard"/>
    <w:next w:val="Standard"/>
    <w:uiPriority w:val="99"/>
    <w:rsid w:val="00400B74"/>
    <w:pPr>
      <w:pBdr>
        <w:top w:val="single" w:sz="12" w:space="1" w:color="auto"/>
        <w:left w:val="single" w:sz="12" w:space="4" w:color="auto"/>
        <w:bottom w:val="single" w:sz="12" w:space="1" w:color="auto"/>
        <w:right w:val="single" w:sz="12" w:space="4" w:color="auto"/>
      </w:pBdr>
      <w:shd w:val="clear" w:color="auto" w:fill="E6E6E6"/>
    </w:pPr>
    <w:rPr>
      <w:b/>
    </w:rPr>
  </w:style>
  <w:style w:type="paragraph" w:customStyle="1" w:styleId="Einschub">
    <w:name w:val="Einschub"/>
    <w:basedOn w:val="Text"/>
    <w:next w:val="Text"/>
    <w:rsid w:val="00426991"/>
    <w:pPr>
      <w:spacing w:line="240" w:lineRule="auto"/>
      <w:ind w:left="397" w:right="397" w:firstLine="0"/>
    </w:pPr>
    <w:rPr>
      <w:sz w:val="20"/>
    </w:rPr>
  </w:style>
  <w:style w:type="paragraph" w:styleId="Dokumentstruktur">
    <w:name w:val="Document Map"/>
    <w:basedOn w:val="Standard"/>
    <w:link w:val="DokumentstrukturZchn"/>
    <w:uiPriority w:val="99"/>
    <w:rsid w:val="00400B74"/>
    <w:pPr>
      <w:shd w:val="clear" w:color="auto" w:fill="000080"/>
    </w:pPr>
    <w:rPr>
      <w:rFonts w:ascii="Tahoma" w:hAnsi="Tahoma" w:cs="Tahoma"/>
      <w:sz w:val="20"/>
    </w:rPr>
  </w:style>
  <w:style w:type="character" w:customStyle="1" w:styleId="DokumentstrukturZchn">
    <w:name w:val="Dokumentstruktur Zchn"/>
    <w:link w:val="Dokumentstruktur"/>
    <w:uiPriority w:val="99"/>
    <w:locked/>
    <w:rsid w:val="00400B74"/>
    <w:rPr>
      <w:rFonts w:ascii="Tahoma" w:hAnsi="Tahoma" w:cs="Tahoma"/>
      <w:shd w:val="clear" w:color="auto" w:fill="000080"/>
    </w:rPr>
  </w:style>
  <w:style w:type="character" w:styleId="Hervorhebung">
    <w:name w:val="Emphasis"/>
    <w:basedOn w:val="Absatz-Standardschriftart"/>
    <w:uiPriority w:val="20"/>
    <w:qFormat/>
    <w:rsid w:val="00426991"/>
    <w:rPr>
      <w:i/>
      <w:iCs/>
    </w:rPr>
  </w:style>
  <w:style w:type="character" w:customStyle="1" w:styleId="Person">
    <w:name w:val="Person"/>
    <w:basedOn w:val="Absatz-Standardschriftart"/>
    <w:rsid w:val="00426991"/>
    <w:rPr>
      <w:smallCaps/>
    </w:rPr>
  </w:style>
  <w:style w:type="paragraph" w:styleId="Verzeichnis6">
    <w:name w:val="toc 6"/>
    <w:basedOn w:val="Standard"/>
    <w:next w:val="Standard"/>
    <w:autoRedefine/>
    <w:uiPriority w:val="39"/>
    <w:rsid w:val="00424878"/>
    <w:pPr>
      <w:tabs>
        <w:tab w:val="right" w:leader="dot" w:pos="9062"/>
      </w:tabs>
      <w:ind w:left="1200"/>
    </w:pPr>
    <w:rPr>
      <w:sz w:val="20"/>
    </w:rPr>
  </w:style>
  <w:style w:type="paragraph" w:styleId="Verzeichnis7">
    <w:name w:val="toc 7"/>
    <w:basedOn w:val="Standard"/>
    <w:next w:val="Standard"/>
    <w:autoRedefine/>
    <w:uiPriority w:val="39"/>
    <w:rsid w:val="00400B74"/>
    <w:pPr>
      <w:ind w:left="1440"/>
    </w:pPr>
    <w:rPr>
      <w:sz w:val="20"/>
    </w:rPr>
  </w:style>
  <w:style w:type="paragraph" w:styleId="Verzeichnis5">
    <w:name w:val="toc 5"/>
    <w:basedOn w:val="Standard"/>
    <w:next w:val="Standard"/>
    <w:autoRedefine/>
    <w:uiPriority w:val="39"/>
    <w:rsid w:val="00400B74"/>
    <w:pPr>
      <w:ind w:left="960"/>
    </w:pPr>
    <w:rPr>
      <w:sz w:val="20"/>
    </w:rPr>
  </w:style>
  <w:style w:type="paragraph" w:styleId="Verzeichnis8">
    <w:name w:val="toc 8"/>
    <w:basedOn w:val="Standard"/>
    <w:next w:val="Standard"/>
    <w:autoRedefine/>
    <w:uiPriority w:val="39"/>
    <w:rsid w:val="00400B74"/>
    <w:pPr>
      <w:ind w:left="1680"/>
    </w:pPr>
    <w:rPr>
      <w:sz w:val="20"/>
    </w:rPr>
  </w:style>
  <w:style w:type="paragraph" w:styleId="Verzeichnis9">
    <w:name w:val="toc 9"/>
    <w:basedOn w:val="Standard"/>
    <w:next w:val="Standard"/>
    <w:autoRedefine/>
    <w:uiPriority w:val="39"/>
    <w:rsid w:val="00400B74"/>
    <w:pPr>
      <w:ind w:left="1920"/>
    </w:pPr>
    <w:rPr>
      <w:sz w:val="20"/>
    </w:rPr>
  </w:style>
  <w:style w:type="paragraph" w:customStyle="1" w:styleId="Aufzhlung">
    <w:name w:val="Aufzählung"/>
    <w:basedOn w:val="Standard"/>
    <w:uiPriority w:val="99"/>
    <w:rsid w:val="00400B74"/>
    <w:pPr>
      <w:keepNext/>
      <w:numPr>
        <w:numId w:val="12"/>
      </w:numPr>
      <w:contextualSpacing/>
    </w:pPr>
  </w:style>
  <w:style w:type="paragraph" w:customStyle="1" w:styleId="Beispiel">
    <w:name w:val="Beispiel"/>
    <w:basedOn w:val="Standard"/>
    <w:next w:val="Standard"/>
    <w:uiPriority w:val="99"/>
    <w:rsid w:val="00400B74"/>
    <w:pPr>
      <w:pBdr>
        <w:top w:val="single" w:sz="4" w:space="1" w:color="auto"/>
        <w:left w:val="single" w:sz="4" w:space="4" w:color="auto"/>
        <w:bottom w:val="single" w:sz="4" w:space="1" w:color="auto"/>
        <w:right w:val="single" w:sz="4" w:space="4" w:color="auto"/>
      </w:pBdr>
      <w:ind w:left="284" w:right="284"/>
    </w:pPr>
    <w:rPr>
      <w:sz w:val="21"/>
    </w:rPr>
  </w:style>
  <w:style w:type="paragraph" w:customStyle="1" w:styleId="berarbeitungshinweis">
    <w:name w:val="Überarbeitungshinweis"/>
    <w:basedOn w:val="Standard"/>
    <w:next w:val="Standard"/>
    <w:uiPriority w:val="99"/>
    <w:rsid w:val="00400B74"/>
    <w:pPr>
      <w:pBdr>
        <w:top w:val="single" w:sz="18" w:space="1" w:color="FF0000"/>
        <w:left w:val="single" w:sz="18" w:space="4" w:color="FF0000"/>
        <w:bottom w:val="single" w:sz="18" w:space="1" w:color="FF0000"/>
        <w:right w:val="single" w:sz="18" w:space="4" w:color="FF0000"/>
      </w:pBdr>
    </w:pPr>
    <w:rPr>
      <w:rFonts w:ascii="Arial Black" w:hAnsi="Arial Black"/>
      <w:b/>
    </w:rPr>
  </w:style>
  <w:style w:type="paragraph" w:customStyle="1" w:styleId="Aufzhlung2">
    <w:name w:val="Aufzählung 2"/>
    <w:basedOn w:val="Aufzhlung"/>
    <w:uiPriority w:val="99"/>
    <w:rsid w:val="00400B74"/>
    <w:pPr>
      <w:numPr>
        <w:numId w:val="13"/>
      </w:numPr>
    </w:pPr>
    <w:rPr>
      <w:rFonts w:ascii="(Asiatische Schriftart verwende" w:hAnsi="(Asiatische Schriftart verwende"/>
    </w:rPr>
  </w:style>
  <w:style w:type="paragraph" w:styleId="Aufzhlungszeichen2">
    <w:name w:val="List Bullet 2"/>
    <w:basedOn w:val="Standard"/>
    <w:autoRedefine/>
    <w:rsid w:val="00426991"/>
    <w:pPr>
      <w:numPr>
        <w:numId w:val="1"/>
      </w:numPr>
    </w:pPr>
  </w:style>
  <w:style w:type="paragraph" w:customStyle="1" w:styleId="Aufzhlung3">
    <w:name w:val="Aufzählung 3"/>
    <w:basedOn w:val="Aufzhlung"/>
    <w:uiPriority w:val="99"/>
    <w:rsid w:val="00400B74"/>
    <w:pPr>
      <w:numPr>
        <w:ilvl w:val="2"/>
        <w:numId w:val="11"/>
      </w:numPr>
      <w:tabs>
        <w:tab w:val="clear" w:pos="2160"/>
        <w:tab w:val="num" w:pos="714"/>
      </w:tabs>
      <w:ind w:left="714" w:hanging="249"/>
    </w:pPr>
    <w:rPr>
      <w:rFonts w:ascii="(Asiatische Schriftart verwende" w:hAnsi="(Asiatische Schriftart verwende"/>
    </w:rPr>
  </w:style>
  <w:style w:type="paragraph" w:customStyle="1" w:styleId="Problem">
    <w:name w:val="Problem"/>
    <w:basedOn w:val="Standard"/>
    <w:next w:val="Standard"/>
    <w:uiPriority w:val="99"/>
    <w:rsid w:val="00400B74"/>
    <w:pPr>
      <w:numPr>
        <w:numId w:val="14"/>
      </w:numPr>
    </w:pPr>
  </w:style>
  <w:style w:type="paragraph" w:customStyle="1" w:styleId="Material">
    <w:name w:val="Material"/>
    <w:basedOn w:val="Standard"/>
    <w:qFormat/>
    <w:rsid w:val="00426991"/>
    <w:pPr>
      <w:spacing w:after="120"/>
      <w:ind w:firstLine="221"/>
      <w:contextualSpacing/>
    </w:pPr>
    <w:rPr>
      <w:color w:val="A6A6A6" w:themeColor="background1" w:themeShade="A6"/>
      <w:sz w:val="20"/>
    </w:rPr>
  </w:style>
  <w:style w:type="paragraph" w:styleId="Zitat">
    <w:name w:val="Quote"/>
    <w:basedOn w:val="Standard"/>
    <w:next w:val="Standard"/>
    <w:link w:val="ZitatZchn"/>
    <w:uiPriority w:val="29"/>
    <w:qFormat/>
    <w:rsid w:val="00EA3059"/>
    <w:pPr>
      <w:spacing w:before="200"/>
      <w:ind w:left="864" w:right="864"/>
      <w:jc w:val="center"/>
    </w:pPr>
    <w:rPr>
      <w:i/>
      <w:iCs/>
      <w:color w:val="404040"/>
    </w:rPr>
  </w:style>
  <w:style w:type="character" w:customStyle="1" w:styleId="ZitatZchn">
    <w:name w:val="Zitat Zchn"/>
    <w:link w:val="Zitat"/>
    <w:uiPriority w:val="29"/>
    <w:rsid w:val="00EA3059"/>
    <w:rPr>
      <w:i/>
      <w:iCs/>
      <w:color w:val="404040"/>
      <w:sz w:val="24"/>
    </w:rPr>
  </w:style>
  <w:style w:type="paragraph" w:customStyle="1" w:styleId="Text">
    <w:name w:val="Text"/>
    <w:basedOn w:val="Standard"/>
    <w:rsid w:val="00426991"/>
    <w:pPr>
      <w:spacing w:after="120" w:line="260" w:lineRule="exact"/>
      <w:ind w:firstLine="221"/>
      <w:contextualSpacing/>
    </w:pPr>
    <w:rPr>
      <w:sz w:val="22"/>
    </w:rPr>
  </w:style>
  <w:style w:type="paragraph" w:customStyle="1" w:styleId="Literaturangabe">
    <w:name w:val="Literaturangabe"/>
    <w:basedOn w:val="Einschub"/>
    <w:next w:val="Text"/>
    <w:rsid w:val="00426991"/>
  </w:style>
  <w:style w:type="paragraph" w:customStyle="1" w:styleId="berschriften1">
    <w:name w:val="Überschriften 1"/>
    <w:basedOn w:val="berschrift"/>
    <w:next w:val="Text"/>
    <w:semiHidden/>
    <w:rsid w:val="00426991"/>
    <w:pPr>
      <w:numPr>
        <w:ilvl w:val="2"/>
        <w:numId w:val="19"/>
      </w:numPr>
      <w:spacing w:before="480" w:after="480"/>
      <w:jc w:val="center"/>
      <w:outlineLvl w:val="2"/>
    </w:pPr>
    <w:rPr>
      <w:b/>
      <w:sz w:val="48"/>
    </w:rPr>
  </w:style>
  <w:style w:type="paragraph" w:customStyle="1" w:styleId="berschriften2">
    <w:name w:val="Überschriften 2"/>
    <w:basedOn w:val="berschrift"/>
    <w:next w:val="Text"/>
    <w:semiHidden/>
    <w:rsid w:val="00426991"/>
    <w:pPr>
      <w:numPr>
        <w:ilvl w:val="3"/>
        <w:numId w:val="18"/>
      </w:numPr>
      <w:spacing w:before="360" w:after="240"/>
      <w:jc w:val="center"/>
      <w:outlineLvl w:val="3"/>
    </w:pPr>
    <w:rPr>
      <w:b/>
      <w:i/>
      <w:sz w:val="32"/>
    </w:rPr>
  </w:style>
  <w:style w:type="paragraph" w:customStyle="1" w:styleId="berschriften3">
    <w:name w:val="Überschriften 3"/>
    <w:basedOn w:val="berschrift"/>
    <w:next w:val="Text"/>
    <w:semiHidden/>
    <w:rsid w:val="00426991"/>
    <w:pPr>
      <w:numPr>
        <w:ilvl w:val="4"/>
        <w:numId w:val="19"/>
      </w:numPr>
      <w:spacing w:after="120"/>
      <w:outlineLvl w:val="4"/>
    </w:pPr>
    <w:rPr>
      <w:b/>
      <w:i/>
      <w:sz w:val="28"/>
    </w:rPr>
  </w:style>
  <w:style w:type="paragraph" w:customStyle="1" w:styleId="berschriften4">
    <w:name w:val="Überschriften 4"/>
    <w:basedOn w:val="berschrift"/>
    <w:next w:val="Text"/>
    <w:semiHidden/>
    <w:rsid w:val="00426991"/>
    <w:pPr>
      <w:numPr>
        <w:ilvl w:val="5"/>
        <w:numId w:val="19"/>
      </w:numPr>
      <w:spacing w:before="120" w:after="120"/>
      <w:outlineLvl w:val="5"/>
    </w:pPr>
    <w:rPr>
      <w:i/>
      <w:sz w:val="26"/>
      <w:szCs w:val="26"/>
    </w:rPr>
  </w:style>
  <w:style w:type="numbering" w:styleId="111111">
    <w:name w:val="Outline List 2"/>
    <w:basedOn w:val="KeineListe"/>
    <w:semiHidden/>
    <w:locked/>
    <w:rsid w:val="00426991"/>
    <w:pPr>
      <w:numPr>
        <w:numId w:val="15"/>
      </w:numPr>
    </w:pPr>
  </w:style>
  <w:style w:type="numbering" w:styleId="1ai">
    <w:name w:val="Outline List 1"/>
    <w:basedOn w:val="KeineListe"/>
    <w:semiHidden/>
    <w:locked/>
    <w:rsid w:val="00426991"/>
    <w:pPr>
      <w:numPr>
        <w:numId w:val="16"/>
      </w:numPr>
    </w:pPr>
  </w:style>
  <w:style w:type="numbering" w:styleId="ArtikelAbschnitt">
    <w:name w:val="Outline List 3"/>
    <w:basedOn w:val="KeineListe"/>
    <w:semiHidden/>
    <w:locked/>
    <w:rsid w:val="00426991"/>
    <w:pPr>
      <w:numPr>
        <w:numId w:val="17"/>
      </w:numPr>
    </w:pPr>
  </w:style>
  <w:style w:type="paragraph" w:styleId="Aufzhlungszeichen">
    <w:name w:val="List Bullet"/>
    <w:basedOn w:val="Standard"/>
    <w:autoRedefine/>
    <w:semiHidden/>
    <w:locked/>
    <w:rsid w:val="00426991"/>
    <w:pPr>
      <w:numPr>
        <w:numId w:val="2"/>
      </w:numPr>
    </w:pPr>
  </w:style>
  <w:style w:type="paragraph" w:styleId="Aufzhlungszeichen3">
    <w:name w:val="List Bullet 3"/>
    <w:basedOn w:val="Standard"/>
    <w:autoRedefine/>
    <w:semiHidden/>
    <w:locked/>
    <w:rsid w:val="00426991"/>
    <w:pPr>
      <w:numPr>
        <w:numId w:val="3"/>
      </w:numPr>
    </w:pPr>
  </w:style>
  <w:style w:type="paragraph" w:styleId="Aufzhlungszeichen4">
    <w:name w:val="List Bullet 4"/>
    <w:basedOn w:val="Standard"/>
    <w:autoRedefine/>
    <w:semiHidden/>
    <w:locked/>
    <w:rsid w:val="00426991"/>
    <w:pPr>
      <w:numPr>
        <w:numId w:val="4"/>
      </w:numPr>
    </w:pPr>
  </w:style>
  <w:style w:type="paragraph" w:styleId="Aufzhlungszeichen5">
    <w:name w:val="List Bullet 5"/>
    <w:basedOn w:val="Standard"/>
    <w:autoRedefine/>
    <w:semiHidden/>
    <w:locked/>
    <w:rsid w:val="00426991"/>
    <w:pPr>
      <w:numPr>
        <w:numId w:val="5"/>
      </w:numPr>
    </w:pPr>
  </w:style>
  <w:style w:type="character" w:styleId="BesuchterLink">
    <w:name w:val="FollowedHyperlink"/>
    <w:basedOn w:val="Absatz-Standardschriftart"/>
    <w:semiHidden/>
    <w:locked/>
    <w:rsid w:val="00426991"/>
    <w:rPr>
      <w:color w:val="800080"/>
      <w:u w:val="single"/>
    </w:rPr>
  </w:style>
  <w:style w:type="paragraph" w:styleId="Liste">
    <w:name w:val="List"/>
    <w:basedOn w:val="Standard"/>
    <w:semiHidden/>
    <w:locked/>
    <w:rsid w:val="00426991"/>
    <w:pPr>
      <w:ind w:left="283" w:hanging="283"/>
    </w:pPr>
  </w:style>
  <w:style w:type="paragraph" w:styleId="Liste2">
    <w:name w:val="List 2"/>
    <w:basedOn w:val="Standard"/>
    <w:semiHidden/>
    <w:locked/>
    <w:rsid w:val="00426991"/>
    <w:pPr>
      <w:ind w:left="566" w:hanging="283"/>
    </w:pPr>
  </w:style>
  <w:style w:type="paragraph" w:styleId="Liste3">
    <w:name w:val="List 3"/>
    <w:basedOn w:val="Standard"/>
    <w:semiHidden/>
    <w:locked/>
    <w:rsid w:val="00426991"/>
    <w:pPr>
      <w:ind w:left="849" w:hanging="283"/>
    </w:pPr>
  </w:style>
  <w:style w:type="paragraph" w:styleId="Liste4">
    <w:name w:val="List 4"/>
    <w:basedOn w:val="Standard"/>
    <w:semiHidden/>
    <w:locked/>
    <w:rsid w:val="00426991"/>
    <w:pPr>
      <w:ind w:left="1132" w:hanging="283"/>
    </w:pPr>
  </w:style>
  <w:style w:type="paragraph" w:styleId="Liste5">
    <w:name w:val="List 5"/>
    <w:basedOn w:val="Standard"/>
    <w:semiHidden/>
    <w:locked/>
    <w:rsid w:val="00426991"/>
    <w:pPr>
      <w:ind w:left="1415" w:hanging="283"/>
    </w:pPr>
  </w:style>
  <w:style w:type="paragraph" w:styleId="Listenfortsetzung">
    <w:name w:val="List Continue"/>
    <w:basedOn w:val="Standard"/>
    <w:semiHidden/>
    <w:locked/>
    <w:rsid w:val="00426991"/>
    <w:pPr>
      <w:spacing w:after="120"/>
      <w:ind w:left="283"/>
    </w:pPr>
  </w:style>
  <w:style w:type="paragraph" w:styleId="Listenfortsetzung2">
    <w:name w:val="List Continue 2"/>
    <w:basedOn w:val="Standard"/>
    <w:semiHidden/>
    <w:locked/>
    <w:rsid w:val="00426991"/>
    <w:pPr>
      <w:spacing w:after="120"/>
      <w:ind w:left="566"/>
    </w:pPr>
  </w:style>
  <w:style w:type="paragraph" w:styleId="Listenfortsetzung3">
    <w:name w:val="List Continue 3"/>
    <w:basedOn w:val="Standard"/>
    <w:semiHidden/>
    <w:locked/>
    <w:rsid w:val="00426991"/>
    <w:pPr>
      <w:spacing w:after="120"/>
      <w:ind w:left="849"/>
    </w:pPr>
  </w:style>
  <w:style w:type="paragraph" w:styleId="Listenfortsetzung4">
    <w:name w:val="List Continue 4"/>
    <w:basedOn w:val="Standard"/>
    <w:semiHidden/>
    <w:locked/>
    <w:rsid w:val="00426991"/>
    <w:pPr>
      <w:spacing w:after="120"/>
      <w:ind w:left="1132"/>
    </w:pPr>
  </w:style>
  <w:style w:type="paragraph" w:styleId="Listenfortsetzung5">
    <w:name w:val="List Continue 5"/>
    <w:basedOn w:val="Standard"/>
    <w:semiHidden/>
    <w:locked/>
    <w:rsid w:val="00426991"/>
    <w:pPr>
      <w:spacing w:after="120"/>
      <w:ind w:left="1415"/>
    </w:pPr>
  </w:style>
  <w:style w:type="paragraph" w:styleId="Listennummer">
    <w:name w:val="List Number"/>
    <w:basedOn w:val="Standard"/>
    <w:semiHidden/>
    <w:locked/>
    <w:rsid w:val="00426991"/>
    <w:pPr>
      <w:numPr>
        <w:numId w:val="6"/>
      </w:numPr>
    </w:pPr>
  </w:style>
  <w:style w:type="paragraph" w:styleId="Listennummer2">
    <w:name w:val="List Number 2"/>
    <w:basedOn w:val="Standard"/>
    <w:semiHidden/>
    <w:locked/>
    <w:rsid w:val="00426991"/>
    <w:pPr>
      <w:numPr>
        <w:numId w:val="7"/>
      </w:numPr>
    </w:pPr>
  </w:style>
  <w:style w:type="paragraph" w:styleId="Listennummer3">
    <w:name w:val="List Number 3"/>
    <w:basedOn w:val="Standard"/>
    <w:semiHidden/>
    <w:locked/>
    <w:rsid w:val="00426991"/>
    <w:pPr>
      <w:numPr>
        <w:numId w:val="8"/>
      </w:numPr>
    </w:pPr>
  </w:style>
  <w:style w:type="paragraph" w:styleId="Listennummer4">
    <w:name w:val="List Number 4"/>
    <w:basedOn w:val="Standard"/>
    <w:semiHidden/>
    <w:locked/>
    <w:rsid w:val="00426991"/>
    <w:pPr>
      <w:numPr>
        <w:numId w:val="9"/>
      </w:numPr>
    </w:pPr>
  </w:style>
  <w:style w:type="paragraph" w:styleId="Listennummer5">
    <w:name w:val="List Number 5"/>
    <w:basedOn w:val="Standard"/>
    <w:semiHidden/>
    <w:locked/>
    <w:rsid w:val="00426991"/>
    <w:pPr>
      <w:numPr>
        <w:numId w:val="10"/>
      </w:numPr>
    </w:pPr>
  </w:style>
  <w:style w:type="paragraph" w:styleId="Standardeinzug">
    <w:name w:val="Normal Indent"/>
    <w:basedOn w:val="Standard"/>
    <w:semiHidden/>
    <w:locked/>
    <w:rsid w:val="00426991"/>
    <w:pPr>
      <w:ind w:left="708"/>
    </w:pPr>
  </w:style>
  <w:style w:type="table" w:styleId="Tabelle3D-Effekt1">
    <w:name w:val="Table 3D effects 1"/>
    <w:basedOn w:val="NormaleTabelle"/>
    <w:semiHidden/>
    <w:locked/>
    <w:rsid w:val="004269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4269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4269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4269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4269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4269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4269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4269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4269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4269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4269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4269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4269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4269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4269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4269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4269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4269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4269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4269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4269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4269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4269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4269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4269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4269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4269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4269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4269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4269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4269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4269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4269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4269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4269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4269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4269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4269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4269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4269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4269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4269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4269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locked/>
    <w:rsid w:val="004269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426991"/>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rsid w:val="00B84F7E"/>
    <w:rPr>
      <w:rFonts w:ascii="Arial" w:hAnsi="Arial" w:cs="Arial"/>
      <w:b/>
      <w:bCs/>
      <w:kern w:val="28"/>
      <w:sz w:val="32"/>
      <w:szCs w:val="32"/>
    </w:rPr>
  </w:style>
  <w:style w:type="paragraph" w:styleId="Umschlagabsenderadresse">
    <w:name w:val="envelope return"/>
    <w:basedOn w:val="Standard"/>
    <w:semiHidden/>
    <w:locked/>
    <w:rsid w:val="00426991"/>
    <w:rPr>
      <w:rFonts w:ascii="Arial" w:hAnsi="Arial" w:cs="Arial"/>
      <w:sz w:val="20"/>
      <w:szCs w:val="20"/>
    </w:rPr>
  </w:style>
  <w:style w:type="paragraph" w:styleId="Umschlagadresse">
    <w:name w:val="envelope address"/>
    <w:basedOn w:val="Standard"/>
    <w:semiHidden/>
    <w:locked/>
    <w:rsid w:val="00426991"/>
    <w:pPr>
      <w:framePr w:w="4320" w:h="2160" w:hRule="exact" w:hSpace="141" w:wrap="auto" w:hAnchor="page" w:xAlign="center" w:yAlign="bottom"/>
      <w:ind w:left="1"/>
    </w:pPr>
    <w:rPr>
      <w:rFonts w:ascii="Arial" w:hAnsi="Arial" w:cs="Arial"/>
    </w:rPr>
  </w:style>
  <w:style w:type="paragraph" w:styleId="Untertitel">
    <w:name w:val="Subtitle"/>
    <w:basedOn w:val="Standard"/>
    <w:link w:val="UntertitelZchn"/>
    <w:qFormat/>
    <w:rsid w:val="00426991"/>
    <w:pPr>
      <w:spacing w:after="60"/>
      <w:jc w:val="center"/>
      <w:outlineLvl w:val="1"/>
    </w:pPr>
    <w:rPr>
      <w:rFonts w:ascii="Arial" w:hAnsi="Arial" w:cs="Arial"/>
    </w:rPr>
  </w:style>
  <w:style w:type="character" w:customStyle="1" w:styleId="UntertitelZchn">
    <w:name w:val="Untertitel Zchn"/>
    <w:basedOn w:val="Absatz-Standardschriftart"/>
    <w:link w:val="Untertitel"/>
    <w:rsid w:val="00B84F7E"/>
    <w:rPr>
      <w:rFonts w:ascii="Arial" w:hAnsi="Arial" w:cs="Arial"/>
      <w:kern w:val="22"/>
      <w:sz w:val="24"/>
      <w:szCs w:val="24"/>
    </w:rPr>
  </w:style>
  <w:style w:type="paragraph" w:styleId="Fu-Endnotenberschrift">
    <w:name w:val="Note Heading"/>
    <w:basedOn w:val="Standard"/>
    <w:next w:val="Standard"/>
    <w:link w:val="Fu-EndnotenberschriftZchn"/>
    <w:semiHidden/>
    <w:locked/>
    <w:rsid w:val="00426991"/>
  </w:style>
  <w:style w:type="character" w:customStyle="1" w:styleId="Fu-EndnotenberschriftZchn">
    <w:name w:val="Fuß/-Endnotenüberschrift Zchn"/>
    <w:basedOn w:val="Absatz-Standardschriftart"/>
    <w:link w:val="Fu-Endnotenberschrift"/>
    <w:semiHidden/>
    <w:rsid w:val="00B84F7E"/>
    <w:rPr>
      <w:kern w:val="22"/>
      <w:sz w:val="24"/>
      <w:szCs w:val="24"/>
    </w:rPr>
  </w:style>
  <w:style w:type="paragraph" w:customStyle="1" w:styleId="berschriften5">
    <w:name w:val="Überschriften 5"/>
    <w:basedOn w:val="berschrift"/>
    <w:next w:val="Text"/>
    <w:semiHidden/>
    <w:rsid w:val="00426991"/>
    <w:pPr>
      <w:outlineLvl w:val="6"/>
    </w:pPr>
    <w:rPr>
      <w:i/>
    </w:rPr>
  </w:style>
  <w:style w:type="paragraph" w:customStyle="1" w:styleId="berschrift">
    <w:name w:val="Überschrift"/>
    <w:basedOn w:val="Standard"/>
    <w:next w:val="Text"/>
    <w:semiHidden/>
    <w:rsid w:val="00426991"/>
    <w:pPr>
      <w:keepNext/>
      <w:keepLines/>
      <w:suppressAutoHyphens/>
      <w:jc w:val="left"/>
    </w:pPr>
  </w:style>
  <w:style w:type="paragraph" w:customStyle="1" w:styleId="berschriftenKapitel">
    <w:name w:val="Überschriften Kapitel"/>
    <w:basedOn w:val="berschrift"/>
    <w:next w:val="Text"/>
    <w:semiHidden/>
    <w:rsid w:val="00426991"/>
    <w:pPr>
      <w:pageBreakBefore/>
      <w:spacing w:before="480" w:after="360"/>
      <w:outlineLvl w:val="0"/>
    </w:pPr>
  </w:style>
  <w:style w:type="paragraph" w:customStyle="1" w:styleId="berschriftenParagraph">
    <w:name w:val="Überschriften Paragraph"/>
    <w:basedOn w:val="berschrift"/>
    <w:next w:val="Text"/>
    <w:semiHidden/>
    <w:rsid w:val="00426991"/>
    <w:pPr>
      <w:numPr>
        <w:ilvl w:val="1"/>
        <w:numId w:val="22"/>
      </w:numPr>
      <w:spacing w:before="360" w:after="240"/>
      <w:outlineLvl w:val="1"/>
    </w:pPr>
  </w:style>
  <w:style w:type="paragraph" w:customStyle="1" w:styleId="berschriften6">
    <w:name w:val="Überschriften 6"/>
    <w:basedOn w:val="berschrift"/>
    <w:next w:val="Text"/>
    <w:semiHidden/>
    <w:rsid w:val="00426991"/>
    <w:pPr>
      <w:numPr>
        <w:ilvl w:val="7"/>
        <w:numId w:val="20"/>
      </w:numPr>
    </w:pPr>
  </w:style>
  <w:style w:type="paragraph" w:customStyle="1" w:styleId="berschriften7">
    <w:name w:val="Überschriften 7"/>
    <w:basedOn w:val="berschrift"/>
    <w:next w:val="Text"/>
    <w:semiHidden/>
    <w:rsid w:val="00426991"/>
    <w:pPr>
      <w:numPr>
        <w:ilvl w:val="8"/>
        <w:numId w:val="21"/>
      </w:numPr>
    </w:pPr>
  </w:style>
  <w:style w:type="paragraph" w:customStyle="1" w:styleId="Exkurs4">
    <w:name w:val="Exkurs 4"/>
    <w:basedOn w:val="berschrift4"/>
    <w:next w:val="Text"/>
    <w:rsid w:val="00426991"/>
    <w:pPr>
      <w:numPr>
        <w:ilvl w:val="0"/>
        <w:numId w:val="0"/>
      </w:numPr>
    </w:pPr>
  </w:style>
  <w:style w:type="paragraph" w:customStyle="1" w:styleId="Exkurs5">
    <w:name w:val="Exkurs 5"/>
    <w:basedOn w:val="berschrift5"/>
    <w:next w:val="Text"/>
    <w:rsid w:val="00426991"/>
    <w:pPr>
      <w:numPr>
        <w:ilvl w:val="0"/>
        <w:numId w:val="0"/>
      </w:numPr>
    </w:pPr>
  </w:style>
  <w:style w:type="paragraph" w:customStyle="1" w:styleId="Exkurs6">
    <w:name w:val="Exkurs 6"/>
    <w:basedOn w:val="berschrift6"/>
    <w:next w:val="Text"/>
    <w:rsid w:val="00426991"/>
    <w:pPr>
      <w:numPr>
        <w:ilvl w:val="0"/>
        <w:numId w:val="0"/>
      </w:numPr>
    </w:pPr>
  </w:style>
  <w:style w:type="paragraph" w:customStyle="1" w:styleId="Exkurs7">
    <w:name w:val="Exkurs 7"/>
    <w:basedOn w:val="berschrift7"/>
    <w:next w:val="Text"/>
    <w:rsid w:val="00426991"/>
    <w:pPr>
      <w:numPr>
        <w:ilvl w:val="0"/>
        <w:numId w:val="0"/>
      </w:numPr>
    </w:pPr>
  </w:style>
  <w:style w:type="paragraph" w:customStyle="1" w:styleId="Exkurs8">
    <w:name w:val="Exkurs 8"/>
    <w:basedOn w:val="berschrift8"/>
    <w:next w:val="Text"/>
    <w:rsid w:val="00426991"/>
    <w:pPr>
      <w:numPr>
        <w:ilvl w:val="0"/>
        <w:numId w:val="0"/>
      </w:numPr>
    </w:pPr>
  </w:style>
  <w:style w:type="paragraph" w:customStyle="1" w:styleId="Exkurs9">
    <w:name w:val="Exkurs 9"/>
    <w:basedOn w:val="berschrift9"/>
    <w:next w:val="Text"/>
    <w:rsid w:val="00426991"/>
    <w:pPr>
      <w:numPr>
        <w:ilvl w:val="0"/>
        <w:numId w:val="0"/>
      </w:numPr>
    </w:pPr>
  </w:style>
  <w:style w:type="character" w:styleId="Seitenzahl">
    <w:name w:val="page number"/>
    <w:basedOn w:val="Absatz-Standardschriftart"/>
    <w:semiHidden/>
    <w:locked/>
    <w:rsid w:val="00426991"/>
  </w:style>
  <w:style w:type="paragraph" w:styleId="Inhaltsverzeichnisberschrift">
    <w:name w:val="TOC Heading"/>
    <w:basedOn w:val="berschrift1"/>
    <w:next w:val="Standard"/>
    <w:uiPriority w:val="39"/>
    <w:semiHidden/>
    <w:unhideWhenUsed/>
    <w:qFormat/>
    <w:rsid w:val="009C5C70"/>
    <w:pPr>
      <w:pageBreakBefore w:val="0"/>
      <w:numPr>
        <w:numId w:val="0"/>
      </w:numPr>
      <w:suppressAutoHyphens w:val="0"/>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erarbeitung">
    <w:name w:val="Revision"/>
    <w:hidden/>
    <w:uiPriority w:val="99"/>
    <w:semiHidden/>
    <w:rsid w:val="00B421D3"/>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AA7C12"/>
    <w:pPr>
      <w:ind w:left="720"/>
      <w:contextualSpacing/>
    </w:pPr>
  </w:style>
  <w:style w:type="paragraph" w:styleId="Endnotentext">
    <w:name w:val="endnote text"/>
    <w:basedOn w:val="Standard"/>
    <w:link w:val="EndnotentextZchn"/>
    <w:uiPriority w:val="99"/>
    <w:semiHidden/>
    <w:unhideWhenUsed/>
    <w:locked/>
    <w:rsid w:val="00D63FD1"/>
    <w:rPr>
      <w:sz w:val="20"/>
      <w:szCs w:val="20"/>
    </w:rPr>
  </w:style>
  <w:style w:type="character" w:customStyle="1" w:styleId="EndnotentextZchn">
    <w:name w:val="Endnotentext Zchn"/>
    <w:basedOn w:val="Absatz-Standardschriftart"/>
    <w:link w:val="Endnotentext"/>
    <w:uiPriority w:val="99"/>
    <w:semiHidden/>
    <w:rsid w:val="00D63FD1"/>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locked/>
    <w:rsid w:val="00D63FD1"/>
    <w:rPr>
      <w:vertAlign w:val="superscript"/>
    </w:rPr>
  </w:style>
  <w:style w:type="paragraph" w:styleId="StandardWeb">
    <w:name w:val="Normal (Web)"/>
    <w:basedOn w:val="Standard"/>
    <w:uiPriority w:val="99"/>
    <w:unhideWhenUsed/>
    <w:locked/>
    <w:rsid w:val="00271155"/>
    <w:pPr>
      <w:spacing w:before="100" w:beforeAutospacing="1" w:after="100" w:afterAutospacing="1"/>
      <w:jc w:val="left"/>
    </w:pPr>
    <w:rPr>
      <w:kern w:val="0"/>
    </w:rPr>
  </w:style>
  <w:style w:type="character" w:customStyle="1" w:styleId="sptext1">
    <w:name w:val="sptext1"/>
    <w:basedOn w:val="Absatz-Standardschriftart"/>
    <w:rsid w:val="00DD4037"/>
    <w:rPr>
      <w:vanish w:val="0"/>
      <w:webHidden w:val="0"/>
      <w:specVanish w:val="0"/>
    </w:rPr>
  </w:style>
  <w:style w:type="character" w:customStyle="1" w:styleId="Erwhnung1">
    <w:name w:val="Erwähnung1"/>
    <w:basedOn w:val="Absatz-Standardschriftart"/>
    <w:uiPriority w:val="99"/>
    <w:semiHidden/>
    <w:unhideWhenUsed/>
    <w:rsid w:val="008B462E"/>
    <w:rPr>
      <w:color w:val="2B579A"/>
      <w:shd w:val="clear" w:color="auto" w:fill="E6E6E6"/>
    </w:rPr>
  </w:style>
  <w:style w:type="table" w:customStyle="1" w:styleId="Tabellenraster1">
    <w:name w:val="Tabellenraster1"/>
    <w:basedOn w:val="NormaleTabelle"/>
    <w:next w:val="Tabellenraster"/>
    <w:rsid w:val="008B46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13448">
      <w:bodyDiv w:val="1"/>
      <w:marLeft w:val="0"/>
      <w:marRight w:val="0"/>
      <w:marTop w:val="0"/>
      <w:marBottom w:val="0"/>
      <w:divBdr>
        <w:top w:val="none" w:sz="0" w:space="0" w:color="auto"/>
        <w:left w:val="none" w:sz="0" w:space="0" w:color="auto"/>
        <w:bottom w:val="none" w:sz="0" w:space="0" w:color="auto"/>
        <w:right w:val="none" w:sz="0" w:space="0" w:color="auto"/>
      </w:divBdr>
    </w:div>
    <w:div w:id="1003314560">
      <w:bodyDiv w:val="1"/>
      <w:marLeft w:val="0"/>
      <w:marRight w:val="0"/>
      <w:marTop w:val="0"/>
      <w:marBottom w:val="0"/>
      <w:divBdr>
        <w:top w:val="none" w:sz="0" w:space="0" w:color="auto"/>
        <w:left w:val="none" w:sz="0" w:space="0" w:color="auto"/>
        <w:bottom w:val="none" w:sz="0" w:space="0" w:color="auto"/>
        <w:right w:val="none" w:sz="0" w:space="0" w:color="auto"/>
      </w:divBdr>
      <w:divsChild>
        <w:div w:id="889726586">
          <w:marLeft w:val="0"/>
          <w:marRight w:val="0"/>
          <w:marTop w:val="0"/>
          <w:marBottom w:val="0"/>
          <w:divBdr>
            <w:top w:val="none" w:sz="0" w:space="0" w:color="auto"/>
            <w:left w:val="none" w:sz="0" w:space="0" w:color="auto"/>
            <w:bottom w:val="none" w:sz="0" w:space="0" w:color="auto"/>
            <w:right w:val="none" w:sz="0" w:space="0" w:color="auto"/>
          </w:divBdr>
        </w:div>
        <w:div w:id="409087628">
          <w:marLeft w:val="0"/>
          <w:marRight w:val="0"/>
          <w:marTop w:val="0"/>
          <w:marBottom w:val="0"/>
          <w:divBdr>
            <w:top w:val="none" w:sz="0" w:space="0" w:color="auto"/>
            <w:left w:val="none" w:sz="0" w:space="0" w:color="auto"/>
            <w:bottom w:val="none" w:sz="0" w:space="0" w:color="auto"/>
            <w:right w:val="none" w:sz="0" w:space="0" w:color="auto"/>
          </w:divBdr>
        </w:div>
      </w:divsChild>
    </w:div>
    <w:div w:id="1042291326">
      <w:bodyDiv w:val="1"/>
      <w:marLeft w:val="0"/>
      <w:marRight w:val="0"/>
      <w:marTop w:val="0"/>
      <w:marBottom w:val="0"/>
      <w:divBdr>
        <w:top w:val="none" w:sz="0" w:space="0" w:color="auto"/>
        <w:left w:val="none" w:sz="0" w:space="0" w:color="auto"/>
        <w:bottom w:val="none" w:sz="0" w:space="0" w:color="auto"/>
        <w:right w:val="none" w:sz="0" w:space="0" w:color="auto"/>
      </w:divBdr>
    </w:div>
    <w:div w:id="1163473572">
      <w:bodyDiv w:val="1"/>
      <w:marLeft w:val="0"/>
      <w:marRight w:val="0"/>
      <w:marTop w:val="0"/>
      <w:marBottom w:val="0"/>
      <w:divBdr>
        <w:top w:val="none" w:sz="0" w:space="0" w:color="auto"/>
        <w:left w:val="none" w:sz="0" w:space="0" w:color="auto"/>
        <w:bottom w:val="none" w:sz="0" w:space="0" w:color="auto"/>
        <w:right w:val="none" w:sz="0" w:space="0" w:color="auto"/>
      </w:divBdr>
    </w:div>
    <w:div w:id="1204633872">
      <w:bodyDiv w:val="1"/>
      <w:marLeft w:val="0"/>
      <w:marRight w:val="0"/>
      <w:marTop w:val="0"/>
      <w:marBottom w:val="0"/>
      <w:divBdr>
        <w:top w:val="none" w:sz="0" w:space="0" w:color="auto"/>
        <w:left w:val="none" w:sz="0" w:space="0" w:color="auto"/>
        <w:bottom w:val="none" w:sz="0" w:space="0" w:color="auto"/>
        <w:right w:val="none" w:sz="0" w:space="0" w:color="auto"/>
      </w:divBdr>
    </w:div>
    <w:div w:id="1493181639">
      <w:bodyDiv w:val="1"/>
      <w:marLeft w:val="0"/>
      <w:marRight w:val="0"/>
      <w:marTop w:val="0"/>
      <w:marBottom w:val="0"/>
      <w:divBdr>
        <w:top w:val="none" w:sz="0" w:space="0" w:color="auto"/>
        <w:left w:val="none" w:sz="0" w:space="0" w:color="auto"/>
        <w:bottom w:val="none" w:sz="0" w:space="0" w:color="auto"/>
        <w:right w:val="none" w:sz="0" w:space="0" w:color="auto"/>
      </w:divBdr>
    </w:div>
    <w:div w:id="1688435847">
      <w:bodyDiv w:val="1"/>
      <w:marLeft w:val="0"/>
      <w:marRight w:val="0"/>
      <w:marTop w:val="0"/>
      <w:marBottom w:val="0"/>
      <w:divBdr>
        <w:top w:val="none" w:sz="0" w:space="0" w:color="auto"/>
        <w:left w:val="none" w:sz="0" w:space="0" w:color="auto"/>
        <w:bottom w:val="none" w:sz="0" w:space="0" w:color="auto"/>
        <w:right w:val="none" w:sz="0" w:space="0" w:color="auto"/>
      </w:divBdr>
      <w:divsChild>
        <w:div w:id="137461618">
          <w:marLeft w:val="0"/>
          <w:marRight w:val="0"/>
          <w:marTop w:val="0"/>
          <w:marBottom w:val="0"/>
          <w:divBdr>
            <w:top w:val="none" w:sz="0" w:space="0" w:color="auto"/>
            <w:left w:val="none" w:sz="0" w:space="0" w:color="auto"/>
            <w:bottom w:val="none" w:sz="0" w:space="0" w:color="auto"/>
            <w:right w:val="none" w:sz="0" w:space="0" w:color="auto"/>
          </w:divBdr>
        </w:div>
        <w:div w:id="966201459">
          <w:marLeft w:val="0"/>
          <w:marRight w:val="0"/>
          <w:marTop w:val="0"/>
          <w:marBottom w:val="0"/>
          <w:divBdr>
            <w:top w:val="none" w:sz="0" w:space="0" w:color="auto"/>
            <w:left w:val="none" w:sz="0" w:space="0" w:color="auto"/>
            <w:bottom w:val="none" w:sz="0" w:space="0" w:color="auto"/>
            <w:right w:val="none" w:sz="0" w:space="0" w:color="auto"/>
          </w:divBdr>
        </w:div>
      </w:divsChild>
    </w:div>
    <w:div w:id="18295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10947-B3D5-1D4D-B7B6-08C65468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18046</Words>
  <Characters>113697</Characters>
  <Application>Microsoft Office Word</Application>
  <DocSecurity>0</DocSecurity>
  <Lines>947</Lines>
  <Paragraphs>262</Paragraphs>
  <ScaleCrop>false</ScaleCrop>
  <HeadingPairs>
    <vt:vector size="2" baseType="variant">
      <vt:variant>
        <vt:lpstr>Titel</vt:lpstr>
      </vt:variant>
      <vt:variant>
        <vt:i4>1</vt:i4>
      </vt:variant>
    </vt:vector>
  </HeadingPairs>
  <TitlesOfParts>
    <vt:vector size="1" baseType="lpstr">
      <vt:lpstr/>
    </vt:vector>
  </TitlesOfParts>
  <Company>Universität Passau</Company>
  <LinksUpToDate>false</LinksUpToDate>
  <CharactersWithSpaces>131481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von Lewinski</dc:creator>
  <cp:lastModifiedBy>Sebastian Himstedt</cp:lastModifiedBy>
  <cp:revision>7</cp:revision>
  <cp:lastPrinted>2018-04-20T12:52:00Z</cp:lastPrinted>
  <dcterms:created xsi:type="dcterms:W3CDTF">2018-05-31T13:50:00Z</dcterms:created>
  <dcterms:modified xsi:type="dcterms:W3CDTF">2018-05-31T13:57:00Z</dcterms:modified>
</cp:coreProperties>
</file>